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00" w:lineRule="exact"/>
        <w:rPr>
          <w:rFonts w:hint="default" w:eastAsia="黑体"/>
          <w:kern w:val="0"/>
          <w:sz w:val="32"/>
          <w:szCs w:val="32"/>
        </w:rPr>
      </w:pPr>
    </w:p>
    <w:p>
      <w:pPr>
        <w:spacing w:line="600" w:lineRule="exact"/>
        <w:rPr>
          <w:rFonts w:hint="default" w:eastAsia="黑体"/>
          <w:kern w:val="0"/>
          <w:sz w:val="32"/>
          <w:szCs w:val="32"/>
        </w:rPr>
      </w:pPr>
    </w:p>
    <w:p>
      <w:pPr>
        <w:jc w:val="center"/>
        <w:rPr>
          <w:rFonts w:hint="default" w:eastAsia="方正小标宋_GBK"/>
          <w:sz w:val="48"/>
          <w:szCs w:val="48"/>
        </w:rPr>
      </w:pPr>
      <w:r>
        <w:rPr>
          <w:rFonts w:hint="default" w:eastAsia="方正小标宋_GBK"/>
          <w:sz w:val="48"/>
          <w:szCs w:val="48"/>
        </w:rPr>
        <w:t>202</w:t>
      </w:r>
      <w:r>
        <w:rPr>
          <w:rFonts w:eastAsia="方正小标宋_GBK"/>
          <w:sz w:val="48"/>
          <w:szCs w:val="48"/>
        </w:rPr>
        <w:t>2</w:t>
      </w:r>
      <w:r>
        <w:rPr>
          <w:rFonts w:hint="default" w:eastAsia="方正小标宋_GBK"/>
          <w:sz w:val="48"/>
          <w:szCs w:val="48"/>
        </w:rPr>
        <w:t>年度整体支出绩效自评报告</w:t>
      </w:r>
    </w:p>
    <w:p>
      <w:pPr>
        <w:jc w:val="center"/>
        <w:rPr>
          <w:rFonts w:hint="default" w:eastAsia="黑体"/>
          <w:sz w:val="32"/>
          <w:szCs w:val="32"/>
        </w:rPr>
      </w:pPr>
    </w:p>
    <w:p>
      <w:pPr>
        <w:jc w:val="center"/>
        <w:rPr>
          <w:rFonts w:hint="default" w:eastAsia="黑体"/>
          <w:sz w:val="32"/>
          <w:szCs w:val="32"/>
        </w:rPr>
      </w:pPr>
    </w:p>
    <w:p>
      <w:pPr>
        <w:jc w:val="center"/>
        <w:rPr>
          <w:rFonts w:hint="default" w:eastAsia="黑体"/>
          <w:sz w:val="32"/>
          <w:szCs w:val="32"/>
        </w:rPr>
      </w:pPr>
    </w:p>
    <w:p>
      <w:pPr>
        <w:jc w:val="center"/>
        <w:rPr>
          <w:rFonts w:hint="default" w:eastAsia="黑体"/>
          <w:sz w:val="32"/>
          <w:szCs w:val="32"/>
        </w:rPr>
      </w:pPr>
    </w:p>
    <w:p>
      <w:pPr>
        <w:jc w:val="center"/>
        <w:rPr>
          <w:rFonts w:hint="default" w:eastAsia="黑体"/>
          <w:sz w:val="32"/>
          <w:szCs w:val="32"/>
        </w:rPr>
      </w:pPr>
    </w:p>
    <w:p>
      <w:pPr>
        <w:jc w:val="center"/>
        <w:rPr>
          <w:rFonts w:hint="default" w:eastAsia="黑体"/>
          <w:sz w:val="32"/>
          <w:szCs w:val="32"/>
        </w:rPr>
      </w:pPr>
    </w:p>
    <w:p>
      <w:pPr>
        <w:jc w:val="center"/>
        <w:rPr>
          <w:rFonts w:hint="default" w:eastAsia="黑体"/>
          <w:sz w:val="32"/>
          <w:szCs w:val="32"/>
        </w:rPr>
      </w:pPr>
    </w:p>
    <w:p>
      <w:pPr>
        <w:ind w:firstLine="880" w:firstLineChars="200"/>
        <w:jc w:val="center"/>
        <w:rPr>
          <w:rFonts w:hint="default" w:eastAsia="黑体"/>
          <w:sz w:val="44"/>
          <w:szCs w:val="44"/>
        </w:rPr>
      </w:pPr>
    </w:p>
    <w:p>
      <w:pPr>
        <w:ind w:firstLine="880" w:firstLineChars="200"/>
        <w:jc w:val="center"/>
        <w:rPr>
          <w:rFonts w:hint="default" w:eastAsia="黑体"/>
          <w:sz w:val="44"/>
          <w:szCs w:val="44"/>
        </w:rPr>
      </w:pPr>
    </w:p>
    <w:p>
      <w:pPr>
        <w:ind w:firstLine="880" w:firstLineChars="200"/>
        <w:jc w:val="center"/>
        <w:rPr>
          <w:rFonts w:hint="default" w:eastAsia="黑体"/>
          <w:sz w:val="44"/>
          <w:szCs w:val="44"/>
        </w:rPr>
      </w:pPr>
    </w:p>
    <w:p>
      <w:pPr>
        <w:ind w:firstLine="720" w:firstLineChars="200"/>
        <w:jc w:val="center"/>
        <w:rPr>
          <w:rFonts w:hint="default" w:eastAsia="黑体"/>
          <w:sz w:val="36"/>
          <w:szCs w:val="36"/>
        </w:rPr>
      </w:pPr>
      <w:r>
        <w:rPr>
          <w:rFonts w:hint="default" w:eastAsia="黑体"/>
          <w:sz w:val="36"/>
          <w:szCs w:val="36"/>
        </w:rPr>
        <w:t>单位名称（盖章）：</w:t>
      </w:r>
      <w:r>
        <w:rPr>
          <w:rFonts w:eastAsia="黑体"/>
          <w:sz w:val="36"/>
          <w:szCs w:val="36"/>
        </w:rPr>
        <w:t>张家界开放大学</w:t>
      </w:r>
    </w:p>
    <w:p>
      <w:pPr>
        <w:jc w:val="center"/>
        <w:rPr>
          <w:rFonts w:hint="default" w:eastAsia="黑体"/>
          <w:sz w:val="36"/>
          <w:szCs w:val="36"/>
        </w:rPr>
      </w:pPr>
    </w:p>
    <w:p>
      <w:pPr>
        <w:jc w:val="center"/>
        <w:rPr>
          <w:rFonts w:hint="default" w:eastAsia="黑体"/>
          <w:sz w:val="32"/>
          <w:szCs w:val="32"/>
        </w:rPr>
      </w:pPr>
    </w:p>
    <w:p>
      <w:pPr>
        <w:jc w:val="center"/>
        <w:rPr>
          <w:rFonts w:hint="default" w:eastAsia="仿宋_GB2312"/>
          <w:sz w:val="32"/>
          <w:szCs w:val="32"/>
        </w:rPr>
      </w:pPr>
      <w:r>
        <w:rPr>
          <w:rFonts w:hint="default" w:eastAsia="仿宋_GB2312"/>
          <w:sz w:val="32"/>
          <w:szCs w:val="32"/>
        </w:rPr>
        <w:t>（此页为封面）</w:t>
      </w:r>
    </w:p>
    <w:p>
      <w:pPr>
        <w:jc w:val="center"/>
        <w:rPr>
          <w:rFonts w:hint="default" w:eastAsia="仿宋_GB2312"/>
          <w:sz w:val="32"/>
          <w:szCs w:val="32"/>
        </w:rPr>
      </w:pPr>
    </w:p>
    <w:p>
      <w:pPr>
        <w:spacing w:line="460" w:lineRule="exact"/>
        <w:ind w:firstLine="640" w:firstLineChars="200"/>
        <w:rPr>
          <w:rFonts w:hint="default" w:eastAsia="黑体"/>
          <w:sz w:val="28"/>
          <w:szCs w:val="28"/>
        </w:rPr>
      </w:pPr>
      <w:r>
        <w:rPr>
          <w:rFonts w:hint="default" w:eastAsia="仿宋_GB2312"/>
          <w:sz w:val="32"/>
          <w:szCs w:val="32"/>
        </w:rPr>
        <w:br w:type="page"/>
      </w:r>
      <w:r>
        <w:rPr>
          <w:rFonts w:hint="default" w:eastAsia="黑体"/>
          <w:sz w:val="28"/>
          <w:szCs w:val="28"/>
        </w:rPr>
        <w:t>一、基本情况</w:t>
      </w:r>
    </w:p>
    <w:p>
      <w:pPr>
        <w:spacing w:line="460" w:lineRule="exact"/>
        <w:ind w:firstLine="562" w:firstLineChars="200"/>
        <w:rPr>
          <w:rFonts w:hint="default" w:eastAsia="楷体_GB2312"/>
          <w:b/>
          <w:sz w:val="28"/>
          <w:szCs w:val="28"/>
        </w:rPr>
      </w:pPr>
      <w:r>
        <w:rPr>
          <w:rFonts w:hint="default" w:eastAsia="楷体_GB2312"/>
          <w:b/>
          <w:sz w:val="28"/>
          <w:szCs w:val="28"/>
        </w:rPr>
        <w:t>（一）部门（单位）基本情况</w:t>
      </w:r>
    </w:p>
    <w:p>
      <w:pPr>
        <w:adjustRightInd w:val="0"/>
        <w:snapToGrid w:val="0"/>
        <w:spacing w:line="460" w:lineRule="exact"/>
        <w:ind w:firstLine="560" w:firstLineChars="200"/>
        <w:rPr>
          <w:rFonts w:hint="default" w:ascii="仿宋" w:hAnsi="仿宋" w:eastAsia="仿宋" w:cs="仿宋"/>
          <w:sz w:val="28"/>
          <w:szCs w:val="28"/>
        </w:rPr>
      </w:pPr>
      <w:r>
        <w:rPr>
          <w:rFonts w:ascii="仿宋" w:hAnsi="仿宋" w:eastAsia="仿宋" w:cs="仿宋"/>
          <w:sz w:val="28"/>
          <w:szCs w:val="28"/>
        </w:rPr>
        <w:t>张家界开放大学是一所财政全额拨款的新型成人高校，位于永定区崇文路139号，主管部门是张家界市教育局，业务指导单位是湖南开放大学，下设慈利和桑植两个工作站。主要职责是：自主开展本专科学历教育、社区教育、老年教育和干部络教育，承接有关社会化职业资格考试和培训，为全民终身学习提供支持服务。2022年末共有在编教职工16人，外聘教职工6人。</w:t>
      </w:r>
    </w:p>
    <w:p>
      <w:pPr>
        <w:adjustRightInd w:val="0"/>
        <w:snapToGrid w:val="0"/>
        <w:spacing w:line="460" w:lineRule="exact"/>
        <w:ind w:firstLine="560" w:firstLineChars="200"/>
        <w:rPr>
          <w:rFonts w:hint="default" w:ascii="仿宋" w:hAnsi="仿宋" w:eastAsia="仿宋" w:cs="仿宋"/>
          <w:sz w:val="28"/>
          <w:szCs w:val="28"/>
        </w:rPr>
      </w:pPr>
      <w:r>
        <w:rPr>
          <w:rFonts w:ascii="仿宋" w:hAnsi="仿宋" w:eastAsia="仿宋" w:cs="仿宋"/>
          <w:sz w:val="28"/>
          <w:szCs w:val="28"/>
        </w:rPr>
        <w:t>2022年我校总收入1418.16万元，其中：一般公共预算财政拨款收入844.83万元，事业收入273.62万元，上年结转299.71万元。</w:t>
      </w:r>
    </w:p>
    <w:p>
      <w:pPr>
        <w:adjustRightInd w:val="0"/>
        <w:snapToGrid w:val="0"/>
        <w:spacing w:line="460" w:lineRule="exact"/>
        <w:ind w:firstLine="560" w:firstLineChars="200"/>
        <w:rPr>
          <w:rFonts w:hint="default" w:ascii="仿宋" w:hAnsi="仿宋" w:eastAsia="仿宋" w:cs="仿宋"/>
          <w:sz w:val="28"/>
          <w:szCs w:val="28"/>
        </w:rPr>
      </w:pPr>
      <w:r>
        <w:rPr>
          <w:rFonts w:ascii="仿宋" w:hAnsi="仿宋" w:eastAsia="仿宋" w:cs="仿宋"/>
          <w:sz w:val="28"/>
          <w:szCs w:val="28"/>
        </w:rPr>
        <w:t>总支出1302.93万元，其中：一般公共预算财政拨款支出844.83万元（基本支出430.85万元、项目支出413.98万元）。</w:t>
      </w:r>
    </w:p>
    <w:p>
      <w:pPr>
        <w:spacing w:line="460" w:lineRule="exact"/>
        <w:ind w:firstLine="560" w:firstLineChars="200"/>
        <w:rPr>
          <w:rFonts w:hint="default" w:eastAsia="楷体_GB2312"/>
          <w:b/>
          <w:sz w:val="28"/>
          <w:szCs w:val="28"/>
        </w:rPr>
      </w:pPr>
      <w:r>
        <w:rPr>
          <w:rFonts w:ascii="仿宋" w:hAnsi="仿宋" w:eastAsia="仿宋" w:cs="仿宋"/>
          <w:sz w:val="28"/>
          <w:szCs w:val="28"/>
        </w:rPr>
        <w:t>年末结转结余115.24万元，其中：一般公共预算财政拨款结转0万元。</w:t>
      </w:r>
    </w:p>
    <w:p>
      <w:pPr>
        <w:spacing w:line="460" w:lineRule="exact"/>
        <w:ind w:firstLine="562" w:firstLineChars="200"/>
        <w:rPr>
          <w:rFonts w:hint="default" w:eastAsia="楷体_GB2312"/>
          <w:b/>
          <w:sz w:val="28"/>
          <w:szCs w:val="28"/>
        </w:rPr>
      </w:pPr>
      <w:r>
        <w:rPr>
          <w:rFonts w:hint="default" w:eastAsia="楷体_GB2312"/>
          <w:b/>
          <w:sz w:val="28"/>
          <w:szCs w:val="28"/>
        </w:rPr>
        <w:t>（二）部门（单位）年度整体支出绩效目标，市级专项资金绩效目标、其他项目支出（除市级专项资金以外）绩效目标</w:t>
      </w:r>
    </w:p>
    <w:p>
      <w:pPr>
        <w:spacing w:line="460" w:lineRule="exact"/>
        <w:ind w:firstLine="560" w:firstLineChars="200"/>
        <w:rPr>
          <w:rFonts w:hint="default" w:ascii="仿宋" w:hAnsi="仿宋" w:eastAsia="仿宋" w:cs="仿宋"/>
          <w:sz w:val="28"/>
          <w:szCs w:val="28"/>
        </w:rPr>
      </w:pPr>
      <w:r>
        <w:rPr>
          <w:rFonts w:ascii="仿宋" w:hAnsi="仿宋" w:eastAsia="仿宋" w:cs="仿宋"/>
          <w:sz w:val="28"/>
          <w:szCs w:val="28"/>
        </w:rPr>
        <w:t>1、学历教育完成招生任务目标。</w:t>
      </w:r>
    </w:p>
    <w:p>
      <w:pPr>
        <w:spacing w:line="460" w:lineRule="exact"/>
        <w:ind w:firstLine="560" w:firstLineChars="200"/>
        <w:rPr>
          <w:rFonts w:hint="default" w:ascii="仿宋" w:hAnsi="仿宋" w:eastAsia="仿宋" w:cs="仿宋"/>
          <w:sz w:val="28"/>
          <w:szCs w:val="28"/>
        </w:rPr>
      </w:pPr>
      <w:r>
        <w:rPr>
          <w:rFonts w:ascii="仿宋" w:hAnsi="仿宋" w:eastAsia="仿宋" w:cs="仿宋"/>
          <w:sz w:val="28"/>
          <w:szCs w:val="28"/>
        </w:rPr>
        <w:t>2、保证干部网络学院网上学习平台稳定并不断优化学习资源。</w:t>
      </w:r>
    </w:p>
    <w:p>
      <w:pPr>
        <w:spacing w:line="460" w:lineRule="exact"/>
        <w:ind w:firstLine="560" w:firstLineChars="200"/>
        <w:rPr>
          <w:rFonts w:hint="default" w:ascii="仿宋" w:hAnsi="仿宋" w:eastAsia="仿宋" w:cs="仿宋"/>
          <w:sz w:val="28"/>
          <w:szCs w:val="28"/>
        </w:rPr>
      </w:pPr>
      <w:r>
        <w:rPr>
          <w:rFonts w:ascii="仿宋" w:hAnsi="仿宋" w:eastAsia="仿宋" w:cs="仿宋"/>
          <w:sz w:val="28"/>
          <w:szCs w:val="28"/>
        </w:rPr>
        <w:t>3、完成行政执法考试及其他各类考试的组考。</w:t>
      </w:r>
    </w:p>
    <w:p>
      <w:pPr>
        <w:spacing w:line="460" w:lineRule="exact"/>
        <w:ind w:firstLine="560" w:firstLineChars="200"/>
        <w:rPr>
          <w:rFonts w:hint="default" w:ascii="仿宋" w:hAnsi="仿宋" w:eastAsia="仿宋" w:cs="仿宋"/>
          <w:sz w:val="28"/>
          <w:szCs w:val="28"/>
        </w:rPr>
      </w:pPr>
      <w:r>
        <w:rPr>
          <w:rFonts w:ascii="仿宋" w:hAnsi="仿宋" w:eastAsia="仿宋" w:cs="仿宋"/>
          <w:sz w:val="28"/>
          <w:szCs w:val="28"/>
        </w:rPr>
        <w:t>4、在开展“社区教育宣讲”、“社区家长培训”基础上开办好网上社区大学，完成市老年大学办学体制改革任务。</w:t>
      </w:r>
    </w:p>
    <w:p>
      <w:pPr>
        <w:pStyle w:val="9"/>
        <w:spacing w:line="460" w:lineRule="exact"/>
        <w:ind w:firstLine="560"/>
        <w:rPr>
          <w:rFonts w:ascii="Times New Roman" w:hAnsi="Times New Roman" w:eastAsia="黑体"/>
          <w:sz w:val="28"/>
          <w:szCs w:val="28"/>
        </w:rPr>
      </w:pPr>
      <w:r>
        <w:rPr>
          <w:rFonts w:ascii="Times New Roman" w:hAnsi="Times New Roman" w:eastAsia="黑体"/>
          <w:sz w:val="28"/>
          <w:szCs w:val="28"/>
        </w:rPr>
        <w:t>二、一般公共预算支出情况</w:t>
      </w:r>
    </w:p>
    <w:p>
      <w:pPr>
        <w:pStyle w:val="9"/>
        <w:spacing w:line="460" w:lineRule="exact"/>
        <w:ind w:firstLine="562"/>
        <w:rPr>
          <w:rFonts w:ascii="Times New Roman" w:hAnsi="Times New Roman" w:eastAsia="楷体_GB2312"/>
          <w:b/>
          <w:sz w:val="28"/>
          <w:szCs w:val="28"/>
        </w:rPr>
      </w:pPr>
      <w:r>
        <w:rPr>
          <w:rFonts w:ascii="Times New Roman" w:hAnsi="Times New Roman" w:eastAsia="楷体_GB2312"/>
          <w:b/>
          <w:sz w:val="28"/>
          <w:szCs w:val="28"/>
        </w:rPr>
        <w:t>（一）基本支出情况</w:t>
      </w:r>
    </w:p>
    <w:p>
      <w:pPr>
        <w:pStyle w:val="9"/>
        <w:spacing w:line="460" w:lineRule="exact"/>
        <w:ind w:firstLine="560"/>
        <w:rPr>
          <w:rFonts w:ascii="Times New Roman" w:hAnsi="Times New Roman" w:eastAsia="楷体_GB2312"/>
          <w:b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2022年度我校一般公共预算基本支出430.85万元，其中人员经费支出356.95万元，占比82.85%，公用经费支出73.90万元，占比17.15%。三公经费6.44万元，比预算数9.0万元节省了2.56万元，与上年相比增加了0.94万元。</w:t>
      </w:r>
    </w:p>
    <w:p>
      <w:pPr>
        <w:pStyle w:val="9"/>
        <w:spacing w:line="460" w:lineRule="exact"/>
        <w:ind w:firstLine="562"/>
        <w:rPr>
          <w:rFonts w:ascii="Times New Roman" w:hAnsi="Times New Roman" w:eastAsia="楷体_GB2312"/>
          <w:b/>
          <w:sz w:val="28"/>
          <w:szCs w:val="28"/>
        </w:rPr>
      </w:pPr>
      <w:r>
        <w:rPr>
          <w:rFonts w:ascii="Times New Roman" w:hAnsi="Times New Roman" w:eastAsia="楷体_GB2312"/>
          <w:b/>
          <w:sz w:val="28"/>
          <w:szCs w:val="28"/>
        </w:rPr>
        <w:t>（二）项目支出情况</w:t>
      </w:r>
    </w:p>
    <w:p>
      <w:pPr>
        <w:pStyle w:val="9"/>
        <w:spacing w:line="460" w:lineRule="exact"/>
        <w:ind w:firstLine="56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2022年度我校一般公共预算项目支出413.98万元，具体情况如下：</w:t>
      </w:r>
    </w:p>
    <w:p>
      <w:pPr>
        <w:adjustRightInd w:val="0"/>
        <w:snapToGrid w:val="0"/>
        <w:spacing w:line="460" w:lineRule="exact"/>
        <w:ind w:firstLine="560" w:firstLineChars="200"/>
        <w:rPr>
          <w:rFonts w:hint="default" w:ascii="仿宋" w:hAnsi="仿宋" w:eastAsia="仿宋" w:cs="仿宋"/>
          <w:sz w:val="28"/>
          <w:szCs w:val="28"/>
        </w:rPr>
      </w:pPr>
      <w:r>
        <w:rPr>
          <w:rFonts w:ascii="仿宋" w:hAnsi="仿宋" w:eastAsia="仿宋" w:cs="仿宋"/>
          <w:sz w:val="28"/>
          <w:szCs w:val="28"/>
        </w:rPr>
        <w:t>1、“干部教育工作经费”项目支出60.00万元，占比14.49%。用于维护干部网络教育在线学习平台稳定和学习资源的优化。</w:t>
      </w:r>
    </w:p>
    <w:p>
      <w:pPr>
        <w:adjustRightInd w:val="0"/>
        <w:snapToGrid w:val="0"/>
        <w:spacing w:line="460" w:lineRule="exact"/>
        <w:ind w:firstLine="560" w:firstLineChars="200"/>
        <w:rPr>
          <w:rFonts w:hint="default" w:ascii="仿宋" w:hAnsi="仿宋" w:eastAsia="仿宋" w:cs="仿宋"/>
          <w:sz w:val="28"/>
          <w:szCs w:val="28"/>
        </w:rPr>
      </w:pPr>
      <w:r>
        <w:rPr>
          <w:rFonts w:ascii="仿宋" w:hAnsi="仿宋" w:eastAsia="仿宋" w:cs="仿宋"/>
          <w:sz w:val="28"/>
          <w:szCs w:val="28"/>
        </w:rPr>
        <w:t>2、“农民大学生培养计划培训补贴”项目支出59.59万元，“农民大学生培养计划配套资金”74.11万元，共计133.7万元，合计占比32.30%。用于农民大学生的学历教育支出。</w:t>
      </w:r>
    </w:p>
    <w:p>
      <w:pPr>
        <w:adjustRightInd w:val="0"/>
        <w:snapToGrid w:val="0"/>
        <w:spacing w:line="460" w:lineRule="exact"/>
        <w:ind w:firstLine="560" w:firstLineChars="200"/>
        <w:rPr>
          <w:rFonts w:hint="default" w:ascii="仿宋" w:hAnsi="仿宋" w:eastAsia="仿宋" w:cs="仿宋"/>
          <w:sz w:val="28"/>
          <w:szCs w:val="28"/>
        </w:rPr>
      </w:pPr>
      <w:r>
        <w:rPr>
          <w:rFonts w:ascii="仿宋" w:hAnsi="仿宋" w:eastAsia="仿宋" w:cs="仿宋"/>
          <w:sz w:val="28"/>
          <w:szCs w:val="28"/>
        </w:rPr>
        <w:t>3、“校舍维修”项目支出12.00万元，占比2.89%。用于学校综合楼维修改造支出。</w:t>
      </w:r>
    </w:p>
    <w:p>
      <w:pPr>
        <w:adjustRightInd w:val="0"/>
        <w:snapToGrid w:val="0"/>
        <w:spacing w:line="460" w:lineRule="exact"/>
        <w:ind w:firstLine="560" w:firstLineChars="200"/>
        <w:rPr>
          <w:rFonts w:hint="default" w:ascii="仿宋" w:hAnsi="仿宋" w:eastAsia="仿宋" w:cs="仿宋"/>
          <w:sz w:val="28"/>
          <w:szCs w:val="28"/>
        </w:rPr>
      </w:pPr>
      <w:r>
        <w:rPr>
          <w:rFonts w:ascii="仿宋" w:hAnsi="仿宋" w:eastAsia="仿宋" w:cs="仿宋"/>
          <w:sz w:val="28"/>
          <w:szCs w:val="28"/>
        </w:rPr>
        <w:t>4、“信息化教育”项目支出20.00万元，占比4.83%。用于信息化教育设备购置。</w:t>
      </w:r>
    </w:p>
    <w:p>
      <w:pPr>
        <w:adjustRightInd w:val="0"/>
        <w:snapToGrid w:val="0"/>
        <w:spacing w:line="460" w:lineRule="exact"/>
        <w:ind w:firstLine="560" w:firstLineChars="200"/>
        <w:rPr>
          <w:rFonts w:hint="default" w:ascii="仿宋" w:hAnsi="仿宋" w:eastAsia="仿宋" w:cs="仿宋"/>
          <w:sz w:val="28"/>
          <w:szCs w:val="28"/>
        </w:rPr>
      </w:pPr>
      <w:r>
        <w:rPr>
          <w:rFonts w:ascii="仿宋" w:hAnsi="仿宋" w:eastAsia="仿宋" w:cs="仿宋"/>
          <w:sz w:val="28"/>
          <w:szCs w:val="28"/>
        </w:rPr>
        <w:t>5、“市老年大学工作专项经费”项目支出10.00万元，占比2.42%。用于老年大学聘请教师支出。</w:t>
      </w:r>
    </w:p>
    <w:p>
      <w:pPr>
        <w:adjustRightInd w:val="0"/>
        <w:snapToGrid w:val="0"/>
        <w:spacing w:line="460" w:lineRule="exact"/>
        <w:ind w:firstLine="560" w:firstLineChars="200"/>
        <w:rPr>
          <w:rFonts w:hint="default" w:ascii="仿宋" w:hAnsi="仿宋" w:eastAsia="仿宋" w:cs="仿宋"/>
          <w:sz w:val="28"/>
          <w:szCs w:val="28"/>
        </w:rPr>
      </w:pPr>
      <w:r>
        <w:rPr>
          <w:rFonts w:ascii="仿宋" w:hAnsi="仿宋" w:eastAsia="仿宋" w:cs="仿宋"/>
          <w:sz w:val="28"/>
          <w:szCs w:val="28"/>
        </w:rPr>
        <w:t>6、“学历教育及短期培训”项目支出78.28万元，占比18.91%，用于开放教育学生教务教学支出。</w:t>
      </w:r>
    </w:p>
    <w:p>
      <w:pPr>
        <w:adjustRightInd w:val="0"/>
        <w:snapToGrid w:val="0"/>
        <w:spacing w:line="460" w:lineRule="exact"/>
        <w:ind w:firstLine="560" w:firstLineChars="200"/>
        <w:rPr>
          <w:rFonts w:hint="default" w:ascii="仿宋" w:hAnsi="仿宋" w:eastAsia="仿宋" w:cs="仿宋"/>
          <w:sz w:val="28"/>
          <w:szCs w:val="28"/>
        </w:rPr>
      </w:pPr>
      <w:r>
        <w:rPr>
          <w:rFonts w:ascii="仿宋" w:hAnsi="仿宋" w:eastAsia="仿宋" w:cs="仿宋"/>
          <w:sz w:val="28"/>
          <w:szCs w:val="28"/>
        </w:rPr>
        <w:t>7、“开放大学校舍建设改造资金”项目支出100.00万元，占比24.16%。用于老年大学教学楼建造支出。</w:t>
      </w:r>
    </w:p>
    <w:p>
      <w:pPr>
        <w:pStyle w:val="9"/>
        <w:spacing w:line="460" w:lineRule="exact"/>
        <w:ind w:firstLine="560"/>
        <w:rPr>
          <w:rFonts w:ascii="Times New Roman" w:hAnsi="Times New Roman" w:eastAsia="黑体"/>
          <w:sz w:val="28"/>
          <w:szCs w:val="28"/>
        </w:rPr>
      </w:pPr>
      <w:r>
        <w:rPr>
          <w:rFonts w:ascii="Times New Roman" w:hAnsi="Times New Roman" w:eastAsia="黑体"/>
          <w:sz w:val="28"/>
          <w:szCs w:val="28"/>
        </w:rPr>
        <w:t>三、政府性基金预算支出情况</w:t>
      </w:r>
    </w:p>
    <w:p>
      <w:pPr>
        <w:pStyle w:val="9"/>
        <w:spacing w:line="460" w:lineRule="exact"/>
        <w:ind w:firstLine="56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我校2022年无政府性基金预算支出。</w:t>
      </w:r>
    </w:p>
    <w:p>
      <w:pPr>
        <w:pStyle w:val="9"/>
        <w:spacing w:line="460" w:lineRule="exact"/>
        <w:ind w:firstLine="560"/>
        <w:rPr>
          <w:rFonts w:ascii="Times New Roman" w:hAnsi="Times New Roman" w:eastAsia="黑体"/>
          <w:sz w:val="28"/>
          <w:szCs w:val="28"/>
        </w:rPr>
      </w:pPr>
      <w:r>
        <w:rPr>
          <w:rFonts w:ascii="Times New Roman" w:hAnsi="Times New Roman" w:eastAsia="黑体"/>
          <w:sz w:val="28"/>
          <w:szCs w:val="28"/>
        </w:rPr>
        <w:t>四、国有资本经营预算支出情况</w:t>
      </w:r>
    </w:p>
    <w:p>
      <w:pPr>
        <w:pStyle w:val="9"/>
        <w:spacing w:line="460" w:lineRule="exact"/>
        <w:ind w:firstLine="56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我校2022年无国有资本经营预算支出。</w:t>
      </w:r>
    </w:p>
    <w:p>
      <w:pPr>
        <w:pStyle w:val="9"/>
        <w:spacing w:line="460" w:lineRule="exact"/>
        <w:ind w:firstLine="560"/>
        <w:rPr>
          <w:rFonts w:ascii="Times New Roman" w:hAnsi="Times New Roman" w:eastAsia="黑体"/>
          <w:sz w:val="28"/>
          <w:szCs w:val="28"/>
        </w:rPr>
      </w:pPr>
      <w:r>
        <w:rPr>
          <w:rFonts w:ascii="Times New Roman" w:hAnsi="Times New Roman" w:eastAsia="黑体"/>
          <w:sz w:val="28"/>
          <w:szCs w:val="28"/>
        </w:rPr>
        <w:t>五、社会保险基金预算支出情况</w:t>
      </w:r>
    </w:p>
    <w:p>
      <w:pPr>
        <w:pStyle w:val="9"/>
        <w:spacing w:line="460" w:lineRule="exact"/>
        <w:ind w:firstLine="56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我校2022年无社会保障基金预算支出。</w:t>
      </w:r>
    </w:p>
    <w:p>
      <w:pPr>
        <w:spacing w:line="460" w:lineRule="exact"/>
        <w:ind w:firstLine="560" w:firstLineChars="200"/>
        <w:rPr>
          <w:rFonts w:hint="default" w:eastAsia="黑体"/>
          <w:sz w:val="28"/>
          <w:szCs w:val="28"/>
        </w:rPr>
      </w:pPr>
      <w:r>
        <w:rPr>
          <w:rFonts w:hint="default" w:eastAsia="黑体"/>
          <w:sz w:val="28"/>
          <w:szCs w:val="28"/>
        </w:rPr>
        <w:t>六、部门整体支出绩效情况</w:t>
      </w:r>
    </w:p>
    <w:p>
      <w:pPr>
        <w:pStyle w:val="9"/>
        <w:spacing w:line="460" w:lineRule="exact"/>
        <w:ind w:firstLine="56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1、稳步推进学历教育工作，优化专业结构，合理安排教学计划，积极开展教学活动，切实提高教学质量。2022年共招生825人，全年毕业690人。2022年末学历教育在籍学生人数为3787人。</w:t>
      </w:r>
    </w:p>
    <w:p>
      <w:pPr>
        <w:adjustRightInd w:val="0"/>
        <w:snapToGrid w:val="0"/>
        <w:spacing w:line="460" w:lineRule="exact"/>
        <w:ind w:firstLine="560" w:firstLineChars="200"/>
        <w:rPr>
          <w:rFonts w:hint="default" w:ascii="仿宋" w:hAnsi="仿宋" w:eastAsia="仿宋" w:cs="仿宋"/>
          <w:sz w:val="28"/>
          <w:szCs w:val="28"/>
        </w:rPr>
      </w:pPr>
      <w:r>
        <w:rPr>
          <w:rFonts w:ascii="仿宋" w:hAnsi="仿宋" w:eastAsia="仿宋" w:cs="仿宋"/>
          <w:sz w:val="28"/>
          <w:szCs w:val="28"/>
        </w:rPr>
        <w:t>2、做好干教网院学习支持服务，加强平台维护管理和日常督学。2022年全市干部网络学院网上学习参学人数达9346人次，合格率为100%。</w:t>
      </w:r>
    </w:p>
    <w:p>
      <w:pPr>
        <w:adjustRightInd w:val="0"/>
        <w:snapToGrid w:val="0"/>
        <w:spacing w:line="460" w:lineRule="exact"/>
        <w:ind w:firstLine="560" w:firstLineChars="200"/>
        <w:rPr>
          <w:rFonts w:hint="default" w:ascii="仿宋" w:hAnsi="仿宋" w:eastAsia="仿宋" w:cs="仿宋"/>
          <w:sz w:val="28"/>
          <w:szCs w:val="28"/>
        </w:rPr>
      </w:pPr>
      <w:r>
        <w:rPr>
          <w:rFonts w:ascii="仿宋" w:hAnsi="仿宋" w:eastAsia="仿宋" w:cs="仿宋"/>
          <w:sz w:val="28"/>
          <w:szCs w:val="28"/>
        </w:rPr>
        <w:t>3、组织社区文明创建、旅发大会、家庭教育、法治宣传等主题宣讲活动5次。开展“爱国卫生周”活动，会同职能部门宣传文明出行、食品安全、遵守交规等知识。</w:t>
      </w:r>
    </w:p>
    <w:p>
      <w:pPr>
        <w:adjustRightInd w:val="0"/>
        <w:snapToGrid w:val="0"/>
        <w:spacing w:line="460" w:lineRule="exact"/>
        <w:ind w:firstLine="560" w:firstLineChars="200"/>
        <w:rPr>
          <w:rFonts w:hint="default" w:ascii="仿宋" w:hAnsi="仿宋" w:eastAsia="仿宋" w:cs="仿宋"/>
          <w:sz w:val="28"/>
          <w:szCs w:val="28"/>
        </w:rPr>
      </w:pPr>
      <w:r>
        <w:rPr>
          <w:rFonts w:ascii="仿宋" w:hAnsi="仿宋" w:eastAsia="仿宋" w:cs="仿宋"/>
          <w:sz w:val="28"/>
          <w:szCs w:val="28"/>
        </w:rPr>
        <w:t>4、组织实施了事业单位工作人员培训项目，2022年度事业单位工作人员培训人数15249人，为继续教育培训工作打开了新局面。</w:t>
      </w:r>
    </w:p>
    <w:p>
      <w:pPr>
        <w:adjustRightInd w:val="0"/>
        <w:snapToGrid w:val="0"/>
        <w:spacing w:line="460" w:lineRule="exact"/>
        <w:ind w:firstLine="560" w:firstLineChars="200"/>
        <w:rPr>
          <w:rFonts w:hint="default" w:ascii="仿宋" w:hAnsi="仿宋" w:eastAsia="仿宋" w:cs="仿宋"/>
          <w:sz w:val="28"/>
          <w:szCs w:val="28"/>
        </w:rPr>
      </w:pPr>
      <w:r>
        <w:rPr>
          <w:rFonts w:ascii="仿宋" w:hAnsi="仿宋" w:eastAsia="仿宋"/>
          <w:sz w:val="28"/>
          <w:szCs w:val="28"/>
        </w:rPr>
        <w:t>5、市老年大学秋季正式开学，开设书法、绘画、太极、音乐、舞蹈、阳戏、二胡、京剧等14个专业，招收学员564人，圆满完成了市老年大学办学体制改革任务。</w:t>
      </w:r>
    </w:p>
    <w:p>
      <w:pPr>
        <w:pStyle w:val="9"/>
        <w:spacing w:line="460" w:lineRule="exact"/>
        <w:ind w:firstLine="560"/>
        <w:rPr>
          <w:rFonts w:ascii="Times New Roman" w:hAnsi="Times New Roman" w:eastAsia="黑体"/>
          <w:sz w:val="28"/>
          <w:szCs w:val="28"/>
        </w:rPr>
      </w:pPr>
      <w:r>
        <w:rPr>
          <w:rFonts w:ascii="Times New Roman" w:hAnsi="Times New Roman" w:eastAsia="黑体"/>
          <w:sz w:val="28"/>
          <w:szCs w:val="28"/>
        </w:rPr>
        <w:t>七、存在问题及原因分析</w:t>
      </w:r>
    </w:p>
    <w:p>
      <w:pPr>
        <w:adjustRightInd w:val="0"/>
        <w:snapToGrid w:val="0"/>
        <w:spacing w:line="460" w:lineRule="exact"/>
        <w:ind w:firstLine="560" w:firstLineChars="200"/>
        <w:rPr>
          <w:rFonts w:hint="default" w:ascii="仿宋" w:hAnsi="仿宋" w:eastAsia="仿宋"/>
          <w:sz w:val="28"/>
          <w:szCs w:val="28"/>
        </w:rPr>
      </w:pPr>
      <w:r>
        <w:rPr>
          <w:rFonts w:ascii="仿宋" w:hAnsi="仿宋" w:eastAsia="仿宋"/>
          <w:sz w:val="28"/>
          <w:szCs w:val="28"/>
        </w:rPr>
        <w:t>（一）招生工作遭遇瓶颈。</w:t>
      </w:r>
    </w:p>
    <w:p>
      <w:pPr>
        <w:adjustRightInd w:val="0"/>
        <w:snapToGrid w:val="0"/>
        <w:spacing w:line="460" w:lineRule="exact"/>
        <w:ind w:firstLine="560" w:firstLineChars="200"/>
        <w:rPr>
          <w:rFonts w:hint="default" w:ascii="仿宋" w:hAnsi="仿宋" w:eastAsia="仿宋"/>
          <w:sz w:val="28"/>
          <w:szCs w:val="28"/>
        </w:rPr>
      </w:pPr>
      <w:r>
        <w:rPr>
          <w:rFonts w:ascii="仿宋" w:hAnsi="仿宋" w:eastAsia="仿宋"/>
          <w:sz w:val="28"/>
          <w:szCs w:val="28"/>
        </w:rPr>
        <w:t>（二）教育教学过程管理创新硬招不多。</w:t>
      </w:r>
    </w:p>
    <w:p>
      <w:pPr>
        <w:adjustRightInd w:val="0"/>
        <w:snapToGrid w:val="0"/>
        <w:spacing w:line="460" w:lineRule="exact"/>
        <w:ind w:firstLine="560" w:firstLineChars="200"/>
        <w:rPr>
          <w:rFonts w:hint="default" w:ascii="仿宋" w:hAnsi="仿宋" w:eastAsia="仿宋"/>
          <w:sz w:val="28"/>
          <w:szCs w:val="28"/>
        </w:rPr>
      </w:pPr>
      <w:r>
        <w:rPr>
          <w:rFonts w:ascii="仿宋" w:hAnsi="仿宋" w:eastAsia="仿宋"/>
          <w:sz w:val="28"/>
          <w:szCs w:val="28"/>
        </w:rPr>
        <w:t>（三）终身教育工作发展滞后，品牌培育和创建有待加强。</w:t>
      </w:r>
    </w:p>
    <w:p>
      <w:pPr>
        <w:adjustRightInd w:val="0"/>
        <w:snapToGrid w:val="0"/>
        <w:spacing w:line="460" w:lineRule="exact"/>
        <w:ind w:firstLine="560" w:firstLineChars="200"/>
        <w:rPr>
          <w:rFonts w:hint="default" w:ascii="仿宋" w:hAnsi="仿宋" w:eastAsia="仿宋"/>
          <w:sz w:val="28"/>
          <w:szCs w:val="28"/>
        </w:rPr>
      </w:pPr>
      <w:r>
        <w:rPr>
          <w:rFonts w:ascii="仿宋" w:hAnsi="仿宋" w:eastAsia="仿宋"/>
          <w:sz w:val="28"/>
          <w:szCs w:val="28"/>
        </w:rPr>
        <w:t>（四）人员编制严重不足，人才队伍存在结构性短缺。</w:t>
      </w:r>
    </w:p>
    <w:p>
      <w:pPr>
        <w:adjustRightInd w:val="0"/>
        <w:snapToGrid w:val="0"/>
        <w:spacing w:line="460" w:lineRule="exact"/>
        <w:ind w:firstLine="560" w:firstLineChars="200"/>
        <w:rPr>
          <w:rFonts w:hint="default" w:ascii="仿宋" w:hAnsi="仿宋" w:eastAsia="仿宋"/>
          <w:sz w:val="28"/>
          <w:szCs w:val="28"/>
        </w:rPr>
      </w:pPr>
      <w:r>
        <w:rPr>
          <w:rFonts w:ascii="仿宋" w:hAnsi="仿宋" w:eastAsia="仿宋"/>
          <w:sz w:val="28"/>
          <w:szCs w:val="28"/>
        </w:rPr>
        <w:t>（五）对照《国家开放大学质量标准（1.0版）》，办学条件仍存在很大差距，需要进一步改善。</w:t>
      </w:r>
    </w:p>
    <w:p>
      <w:pPr>
        <w:spacing w:line="460" w:lineRule="exact"/>
        <w:ind w:firstLine="560" w:firstLineChars="200"/>
        <w:rPr>
          <w:rFonts w:hint="default" w:eastAsia="黑体"/>
          <w:sz w:val="28"/>
          <w:szCs w:val="28"/>
        </w:rPr>
      </w:pPr>
      <w:r>
        <w:rPr>
          <w:rFonts w:hint="default" w:eastAsia="黑体"/>
          <w:sz w:val="28"/>
          <w:szCs w:val="28"/>
        </w:rPr>
        <w:t>八、改进措施</w:t>
      </w:r>
    </w:p>
    <w:p>
      <w:pPr>
        <w:adjustRightInd w:val="0"/>
        <w:snapToGrid w:val="0"/>
        <w:spacing w:line="460" w:lineRule="exact"/>
        <w:ind w:firstLine="560" w:firstLineChars="200"/>
        <w:rPr>
          <w:rFonts w:hint="default" w:ascii="仿宋" w:hAnsi="仿宋" w:eastAsia="仿宋" w:cs="仿宋"/>
          <w:sz w:val="28"/>
          <w:szCs w:val="28"/>
        </w:rPr>
      </w:pPr>
      <w:r>
        <w:rPr>
          <w:rFonts w:ascii="仿宋" w:hAnsi="仿宋" w:eastAsia="仿宋" w:cs="仿宋"/>
          <w:sz w:val="28"/>
          <w:szCs w:val="28"/>
        </w:rPr>
        <w:t>（一）规范招生宣传，稳住招生规模。优化专业结构，规范教学组织实施，加强对线上教学和线下面授的全过程管理。</w:t>
      </w:r>
    </w:p>
    <w:p>
      <w:pPr>
        <w:adjustRightInd w:val="0"/>
        <w:snapToGrid w:val="0"/>
        <w:spacing w:line="460" w:lineRule="exact"/>
        <w:ind w:firstLine="560" w:firstLineChars="200"/>
        <w:rPr>
          <w:rFonts w:hint="default" w:ascii="仿宋" w:hAnsi="仿宋" w:eastAsia="仿宋" w:cs="仿宋"/>
          <w:sz w:val="28"/>
          <w:szCs w:val="28"/>
        </w:rPr>
      </w:pPr>
      <w:r>
        <w:rPr>
          <w:rFonts w:ascii="仿宋" w:hAnsi="仿宋" w:eastAsia="仿宋" w:cs="仿宋"/>
          <w:sz w:val="28"/>
          <w:szCs w:val="28"/>
        </w:rPr>
        <w:t>（二）牢固树立敬老爱老服务意识，把“为老年人服务”理念融入学校教学和管理的每一个环节，为老年人提供舒适的环境、贴心的服务、科学的管理。</w:t>
      </w:r>
    </w:p>
    <w:p>
      <w:pPr>
        <w:adjustRightInd w:val="0"/>
        <w:snapToGrid w:val="0"/>
        <w:spacing w:line="460" w:lineRule="exact"/>
        <w:ind w:firstLine="560" w:firstLineChars="200"/>
        <w:rPr>
          <w:rFonts w:hint="default" w:ascii="仿宋" w:hAnsi="仿宋" w:eastAsia="仿宋" w:cs="仿宋"/>
          <w:sz w:val="28"/>
          <w:szCs w:val="28"/>
        </w:rPr>
      </w:pPr>
      <w:r>
        <w:rPr>
          <w:rFonts w:ascii="仿宋" w:hAnsi="仿宋" w:eastAsia="仿宋" w:cs="仿宋"/>
          <w:sz w:val="28"/>
          <w:szCs w:val="28"/>
        </w:rPr>
        <w:t>（三）加快推进社区教育体系化建设，加强与宣传、妇联、农业农村等相关部门合作，推动办学网络下沉到乡镇、延伸到村居。</w:t>
      </w:r>
    </w:p>
    <w:p>
      <w:pPr>
        <w:adjustRightInd w:val="0"/>
        <w:snapToGrid w:val="0"/>
        <w:spacing w:line="460" w:lineRule="exact"/>
        <w:ind w:firstLine="560" w:firstLineChars="200"/>
        <w:rPr>
          <w:rFonts w:hint="default" w:ascii="仿宋" w:hAnsi="仿宋" w:eastAsia="仿宋" w:cs="仿宋"/>
          <w:sz w:val="28"/>
          <w:szCs w:val="28"/>
        </w:rPr>
      </w:pPr>
      <w:r>
        <w:rPr>
          <w:rFonts w:ascii="仿宋" w:hAnsi="仿宋" w:eastAsia="仿宋" w:cs="仿宋"/>
          <w:sz w:val="28"/>
          <w:szCs w:val="28"/>
        </w:rPr>
        <w:t>（四）加大教师培养培训力度，鼓励教职工提升适应开放教育建设要求的工作能力和业务水平，优化教师资源配置。</w:t>
      </w:r>
    </w:p>
    <w:p>
      <w:pPr>
        <w:adjustRightInd w:val="0"/>
        <w:snapToGrid w:val="0"/>
        <w:spacing w:line="460" w:lineRule="exact"/>
        <w:ind w:firstLine="560" w:firstLineChars="200"/>
        <w:rPr>
          <w:rFonts w:hint="default" w:ascii="仿宋" w:hAnsi="仿宋" w:eastAsia="仿宋" w:cs="仿宋"/>
          <w:sz w:val="28"/>
          <w:szCs w:val="28"/>
        </w:rPr>
      </w:pPr>
      <w:r>
        <w:rPr>
          <w:rFonts w:ascii="仿宋" w:hAnsi="仿宋" w:eastAsia="仿宋" w:cs="仿宋"/>
          <w:sz w:val="28"/>
          <w:szCs w:val="28"/>
        </w:rPr>
        <w:t>（五）对校区进行“白加黑”路面改造，加装电梯一部。积极推进“数字校园”行动，优化门户网站、公众号建设，以教育信息化推动开放教育现代化。</w:t>
      </w:r>
    </w:p>
    <w:p>
      <w:pPr>
        <w:spacing w:line="460" w:lineRule="exact"/>
        <w:ind w:firstLine="560" w:firstLineChars="200"/>
        <w:rPr>
          <w:rFonts w:hint="default" w:eastAsia="黑体"/>
          <w:sz w:val="28"/>
          <w:szCs w:val="28"/>
        </w:rPr>
      </w:pPr>
      <w:r>
        <w:rPr>
          <w:rFonts w:hint="default" w:eastAsia="黑体"/>
          <w:sz w:val="28"/>
          <w:szCs w:val="28"/>
        </w:rPr>
        <w:t>九、绩效自评结果拟应用和公开情况</w:t>
      </w:r>
    </w:p>
    <w:p>
      <w:pPr>
        <w:adjustRightInd w:val="0"/>
        <w:snapToGrid w:val="0"/>
        <w:spacing w:line="460" w:lineRule="exact"/>
        <w:ind w:firstLine="560" w:firstLineChars="200"/>
        <w:rPr>
          <w:rFonts w:hint="default" w:ascii="仿宋" w:hAnsi="仿宋" w:eastAsia="仿宋" w:cs="仿宋"/>
          <w:sz w:val="28"/>
          <w:szCs w:val="28"/>
        </w:rPr>
      </w:pPr>
      <w:r>
        <w:rPr>
          <w:rFonts w:ascii="仿宋" w:hAnsi="仿宋" w:eastAsia="仿宋" w:cs="仿宋"/>
          <w:sz w:val="28"/>
          <w:szCs w:val="28"/>
        </w:rPr>
        <w:t>绩效自评结果将为下年度预算配置、预算执行和预算管理提供参照和依据，实现绩效评价结果在部门预算编制和执行中的应用，促进财政资金的合理分配与有效使用。绩效评价报告及相关表格将按规定在门户网站进行公开。</w:t>
      </w:r>
    </w:p>
    <w:p>
      <w:pPr>
        <w:spacing w:line="460" w:lineRule="exact"/>
        <w:ind w:firstLine="560" w:firstLineChars="200"/>
        <w:rPr>
          <w:rFonts w:hint="default" w:eastAsia="黑体"/>
          <w:sz w:val="28"/>
          <w:szCs w:val="28"/>
        </w:rPr>
      </w:pPr>
    </w:p>
    <w:p>
      <w:pPr>
        <w:pStyle w:val="2"/>
        <w:spacing w:before="0" w:beforeAutospacing="0" w:after="0" w:afterAutospacing="0" w:line="460" w:lineRule="exact"/>
        <w:ind w:firstLine="640"/>
        <w:jc w:val="both"/>
        <w:rPr>
          <w:rFonts w:hint="eastAsia" w:ascii="仿宋" w:hAnsi="仿宋" w:eastAsia="仿宋" w:cs="仿宋"/>
          <w:kern w:val="2"/>
          <w:sz w:val="28"/>
          <w:szCs w:val="28"/>
          <w:lang w:eastAsia="zh-CN"/>
        </w:rPr>
      </w:pPr>
      <w:r>
        <w:rPr>
          <w:rFonts w:ascii="仿宋" w:hAnsi="仿宋" w:eastAsia="仿宋" w:cs="仿宋"/>
          <w:kern w:val="2"/>
          <w:sz w:val="28"/>
          <w:szCs w:val="28"/>
        </w:rPr>
        <w:t>附件</w:t>
      </w:r>
      <w:r>
        <w:rPr>
          <w:rFonts w:hint="eastAsia" w:ascii="仿宋" w:hAnsi="仿宋" w:eastAsia="仿宋" w:cs="仿宋"/>
          <w:kern w:val="2"/>
          <w:sz w:val="28"/>
          <w:szCs w:val="28"/>
          <w:lang w:eastAsia="zh-CN"/>
        </w:rPr>
        <w:t>：</w:t>
      </w:r>
    </w:p>
    <w:p>
      <w:pPr>
        <w:pStyle w:val="2"/>
        <w:spacing w:before="0" w:beforeAutospacing="0" w:after="0" w:afterAutospacing="0" w:line="460" w:lineRule="exact"/>
        <w:ind w:firstLine="1411" w:firstLineChars="504"/>
        <w:jc w:val="both"/>
        <w:rPr>
          <w:rFonts w:hint="default" w:ascii="仿宋" w:hAnsi="仿宋" w:eastAsia="仿宋" w:cs="仿宋"/>
          <w:kern w:val="2"/>
          <w:sz w:val="28"/>
          <w:szCs w:val="28"/>
        </w:rPr>
      </w:pPr>
      <w:r>
        <w:rPr>
          <w:rFonts w:hint="eastAsia" w:ascii="仿宋" w:hAnsi="仿宋" w:eastAsia="仿宋" w:cs="仿宋"/>
          <w:kern w:val="2"/>
          <w:sz w:val="28"/>
          <w:szCs w:val="28"/>
          <w:lang w:val="en-US" w:eastAsia="zh-CN"/>
        </w:rPr>
        <w:t>1</w:t>
      </w:r>
      <w:r>
        <w:rPr>
          <w:rFonts w:ascii="仿宋" w:hAnsi="仿宋" w:eastAsia="仿宋" w:cs="仿宋"/>
          <w:kern w:val="2"/>
          <w:sz w:val="28"/>
          <w:szCs w:val="28"/>
        </w:rPr>
        <w:t>.部门整体支出绩效评价基础数据表</w:t>
      </w:r>
    </w:p>
    <w:p>
      <w:pPr>
        <w:pStyle w:val="2"/>
        <w:spacing w:before="0" w:beforeAutospacing="0" w:after="0" w:afterAutospacing="0" w:line="460" w:lineRule="exact"/>
        <w:ind w:firstLine="1400" w:firstLineChars="500"/>
        <w:jc w:val="both"/>
        <w:rPr>
          <w:rFonts w:hint="default" w:ascii="仿宋" w:hAnsi="仿宋" w:eastAsia="仿宋" w:cs="仿宋"/>
          <w:kern w:val="2"/>
          <w:sz w:val="28"/>
          <w:szCs w:val="28"/>
        </w:rPr>
      </w:pPr>
      <w:r>
        <w:rPr>
          <w:rFonts w:hint="eastAsia" w:ascii="仿宋" w:hAnsi="仿宋" w:eastAsia="仿宋" w:cs="仿宋"/>
          <w:kern w:val="2"/>
          <w:sz w:val="28"/>
          <w:szCs w:val="28"/>
          <w:lang w:val="en-US" w:eastAsia="zh-CN"/>
        </w:rPr>
        <w:t>2.</w:t>
      </w:r>
      <w:r>
        <w:rPr>
          <w:rFonts w:ascii="仿宋" w:hAnsi="仿宋" w:eastAsia="仿宋" w:cs="仿宋"/>
          <w:kern w:val="2"/>
          <w:sz w:val="28"/>
          <w:szCs w:val="28"/>
        </w:rPr>
        <w:t>部门整体支出绩效评价评份表</w:t>
      </w:r>
    </w:p>
    <w:p>
      <w:pPr>
        <w:pStyle w:val="2"/>
        <w:spacing w:before="0" w:beforeAutospacing="0" w:after="0" w:afterAutospacing="0" w:line="460" w:lineRule="exact"/>
        <w:ind w:firstLine="640"/>
        <w:jc w:val="both"/>
        <w:rPr>
          <w:rFonts w:hint="default" w:ascii="仿宋" w:hAnsi="仿宋" w:eastAsia="仿宋" w:cs="仿宋"/>
          <w:kern w:val="2"/>
          <w:sz w:val="28"/>
          <w:szCs w:val="28"/>
        </w:rPr>
      </w:pPr>
    </w:p>
    <w:p>
      <w:pPr>
        <w:spacing w:line="460" w:lineRule="exact"/>
        <w:rPr>
          <w:rFonts w:hint="eastAsia" w:eastAsia="黑体"/>
          <w:sz w:val="32"/>
          <w:szCs w:val="32"/>
          <w:lang w:eastAsia="zh-CN"/>
        </w:rPr>
      </w:pPr>
      <w:r>
        <w:rPr>
          <w:rFonts w:eastAsia="黑体"/>
          <w:sz w:val="32"/>
          <w:szCs w:val="32"/>
        </w:rPr>
        <w:br w:type="page"/>
      </w:r>
      <w:r>
        <w:rPr>
          <w:rFonts w:eastAsia="黑体"/>
          <w:sz w:val="32"/>
          <w:szCs w:val="32"/>
        </w:rPr>
        <w:t>附件</w:t>
      </w:r>
      <w:r>
        <w:rPr>
          <w:rFonts w:hint="eastAsia" w:eastAsia="黑体"/>
          <w:sz w:val="32"/>
          <w:szCs w:val="32"/>
          <w:lang w:val="en-US" w:eastAsia="zh-CN"/>
        </w:rPr>
        <w:t>1</w:t>
      </w:r>
    </w:p>
    <w:p>
      <w:pPr>
        <w:spacing w:line="560" w:lineRule="exact"/>
        <w:jc w:val="center"/>
        <w:rPr>
          <w:rFonts w:hint="default" w:ascii="方正小标宋简体" w:hAnsi="方正小标宋简体" w:eastAsia="方正小标宋简体" w:cs="方正小标宋简体"/>
          <w:kern w:val="0"/>
          <w:sz w:val="44"/>
          <w:szCs w:val="44"/>
        </w:rPr>
      </w:pPr>
      <w:r>
        <w:rPr>
          <w:rFonts w:ascii="方正小标宋简体" w:hAnsi="方正小标宋简体" w:eastAsia="方正小标宋简体" w:cs="方正小标宋简体"/>
          <w:kern w:val="0"/>
          <w:sz w:val="44"/>
          <w:szCs w:val="44"/>
        </w:rPr>
        <w:t>部门整体支出绩效评价基础数据表</w:t>
      </w:r>
    </w:p>
    <w:p>
      <w:pPr>
        <w:widowControl/>
        <w:tabs>
          <w:tab w:val="left" w:pos="3611"/>
          <w:tab w:val="left" w:pos="4791"/>
          <w:tab w:val="left" w:pos="5951"/>
          <w:tab w:val="left" w:pos="7071"/>
          <w:tab w:val="left" w:pos="8191"/>
          <w:tab w:val="left" w:pos="9311"/>
        </w:tabs>
        <w:ind w:left="91"/>
        <w:rPr>
          <w:rFonts w:hint="default" w:eastAsia="仿宋_GB2312"/>
          <w:kern w:val="0"/>
          <w:sz w:val="24"/>
        </w:rPr>
      </w:pPr>
      <w:r>
        <w:rPr>
          <w:rFonts w:eastAsia="仿宋_GB2312"/>
          <w:kern w:val="0"/>
          <w:sz w:val="24"/>
        </w:rPr>
        <w:tab/>
      </w:r>
    </w:p>
    <w:tbl>
      <w:tblPr>
        <w:tblStyle w:val="3"/>
        <w:tblW w:w="946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54"/>
        <w:gridCol w:w="1189"/>
        <w:gridCol w:w="849"/>
        <w:gridCol w:w="983"/>
        <w:gridCol w:w="1159"/>
        <w:gridCol w:w="1067"/>
        <w:gridCol w:w="86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3354" w:type="dxa"/>
            <w:vMerge w:val="restart"/>
            <w:vAlign w:val="center"/>
          </w:tcPr>
          <w:p>
            <w:pPr>
              <w:widowControl/>
              <w:jc w:val="center"/>
              <w:rPr>
                <w:rFonts w:hint="default" w:eastAsia="仿宋_GB2312"/>
                <w:kern w:val="0"/>
                <w:szCs w:val="21"/>
              </w:rPr>
            </w:pPr>
            <w:r>
              <w:rPr>
                <w:rFonts w:eastAsia="仿宋_GB2312"/>
                <w:kern w:val="0"/>
                <w:szCs w:val="21"/>
              </w:rPr>
              <w:t>财政供养人员情况</w:t>
            </w:r>
          </w:p>
        </w:tc>
        <w:tc>
          <w:tcPr>
            <w:tcW w:w="2038" w:type="dxa"/>
            <w:gridSpan w:val="2"/>
            <w:vAlign w:val="center"/>
          </w:tcPr>
          <w:p>
            <w:pPr>
              <w:widowControl/>
              <w:jc w:val="center"/>
              <w:rPr>
                <w:rFonts w:hint="default" w:eastAsia="仿宋_GB2312"/>
                <w:b/>
                <w:bCs/>
                <w:kern w:val="0"/>
                <w:szCs w:val="21"/>
              </w:rPr>
            </w:pPr>
            <w:r>
              <w:rPr>
                <w:rFonts w:eastAsia="仿宋_GB2312"/>
                <w:b/>
                <w:bCs/>
                <w:kern w:val="0"/>
                <w:szCs w:val="21"/>
              </w:rPr>
              <w:t>编制数</w:t>
            </w:r>
          </w:p>
        </w:tc>
        <w:tc>
          <w:tcPr>
            <w:tcW w:w="2142" w:type="dxa"/>
            <w:gridSpan w:val="2"/>
            <w:vAlign w:val="center"/>
          </w:tcPr>
          <w:p>
            <w:pPr>
              <w:widowControl/>
              <w:jc w:val="center"/>
              <w:rPr>
                <w:rFonts w:hint="default" w:eastAsia="仿宋_GB2312"/>
                <w:b/>
                <w:bCs/>
                <w:kern w:val="0"/>
                <w:szCs w:val="21"/>
              </w:rPr>
            </w:pPr>
            <w:r>
              <w:rPr>
                <w:rFonts w:eastAsia="仿宋_GB2312"/>
                <w:b/>
                <w:bCs/>
                <w:kern w:val="0"/>
                <w:szCs w:val="21"/>
              </w:rPr>
              <w:t>2022年实际在职人数</w:t>
            </w:r>
          </w:p>
        </w:tc>
        <w:tc>
          <w:tcPr>
            <w:tcW w:w="1930" w:type="dxa"/>
            <w:gridSpan w:val="2"/>
            <w:vAlign w:val="center"/>
          </w:tcPr>
          <w:p>
            <w:pPr>
              <w:widowControl/>
              <w:jc w:val="center"/>
              <w:rPr>
                <w:rFonts w:hint="default" w:eastAsia="仿宋_GB2312"/>
                <w:b/>
                <w:bCs/>
                <w:kern w:val="0"/>
                <w:szCs w:val="21"/>
              </w:rPr>
            </w:pPr>
            <w:r>
              <w:rPr>
                <w:rFonts w:eastAsia="仿宋_GB2312"/>
                <w:b/>
                <w:bCs/>
                <w:kern w:val="0"/>
                <w:szCs w:val="21"/>
              </w:rPr>
              <w:t>控制率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3354" w:type="dxa"/>
            <w:vMerge w:val="continue"/>
            <w:vAlign w:val="center"/>
          </w:tcPr>
          <w:p>
            <w:pPr>
              <w:widowControl/>
              <w:jc w:val="left"/>
              <w:rPr>
                <w:rFonts w:hint="default" w:eastAsia="仿宋_GB2312"/>
                <w:kern w:val="0"/>
                <w:szCs w:val="21"/>
              </w:rPr>
            </w:pPr>
          </w:p>
        </w:tc>
        <w:tc>
          <w:tcPr>
            <w:tcW w:w="2038" w:type="dxa"/>
            <w:gridSpan w:val="2"/>
            <w:vAlign w:val="center"/>
          </w:tcPr>
          <w:p>
            <w:pPr>
              <w:widowControl/>
              <w:jc w:val="center"/>
              <w:rPr>
                <w:rFonts w:hint="default" w:eastAsia="仿宋_GB2312"/>
                <w:kern w:val="0"/>
                <w:szCs w:val="21"/>
              </w:rPr>
            </w:pPr>
            <w:r>
              <w:rPr>
                <w:rFonts w:eastAsia="仿宋_GB2312"/>
                <w:kern w:val="0"/>
                <w:szCs w:val="21"/>
              </w:rPr>
              <w:t>16</w:t>
            </w:r>
          </w:p>
        </w:tc>
        <w:tc>
          <w:tcPr>
            <w:tcW w:w="2142" w:type="dxa"/>
            <w:gridSpan w:val="2"/>
            <w:vAlign w:val="center"/>
          </w:tcPr>
          <w:p>
            <w:pPr>
              <w:widowControl/>
              <w:jc w:val="center"/>
              <w:rPr>
                <w:rFonts w:hint="default" w:eastAsia="仿宋_GB2312"/>
                <w:kern w:val="0"/>
                <w:szCs w:val="21"/>
              </w:rPr>
            </w:pPr>
            <w:r>
              <w:rPr>
                <w:rFonts w:eastAsia="仿宋_GB2312"/>
                <w:kern w:val="0"/>
                <w:szCs w:val="21"/>
              </w:rPr>
              <w:t>16</w:t>
            </w:r>
          </w:p>
        </w:tc>
        <w:tc>
          <w:tcPr>
            <w:tcW w:w="1930" w:type="dxa"/>
            <w:gridSpan w:val="2"/>
            <w:vAlign w:val="center"/>
          </w:tcPr>
          <w:p>
            <w:pPr>
              <w:widowControl/>
              <w:jc w:val="center"/>
              <w:rPr>
                <w:rFonts w:hint="default" w:eastAsia="仿宋_GB2312"/>
                <w:kern w:val="0"/>
                <w:szCs w:val="21"/>
              </w:rPr>
            </w:pPr>
            <w:r>
              <w:rPr>
                <w:rFonts w:eastAsia="仿宋_GB2312"/>
                <w:kern w:val="0"/>
                <w:szCs w:val="21"/>
              </w:rPr>
              <w:t>100%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3354" w:type="dxa"/>
            <w:vAlign w:val="center"/>
          </w:tcPr>
          <w:p>
            <w:pPr>
              <w:widowControl/>
              <w:jc w:val="center"/>
              <w:rPr>
                <w:rFonts w:hint="default" w:eastAsia="仿宋_GB2312"/>
                <w:kern w:val="0"/>
                <w:szCs w:val="21"/>
              </w:rPr>
            </w:pPr>
            <w:r>
              <w:rPr>
                <w:rFonts w:eastAsia="仿宋_GB2312"/>
                <w:kern w:val="0"/>
                <w:szCs w:val="21"/>
              </w:rPr>
              <w:t>经费控制情况</w:t>
            </w:r>
          </w:p>
        </w:tc>
        <w:tc>
          <w:tcPr>
            <w:tcW w:w="2038" w:type="dxa"/>
            <w:gridSpan w:val="2"/>
            <w:vAlign w:val="center"/>
          </w:tcPr>
          <w:p>
            <w:pPr>
              <w:widowControl/>
              <w:jc w:val="center"/>
              <w:rPr>
                <w:rFonts w:hint="default" w:eastAsia="仿宋_GB2312"/>
                <w:b/>
                <w:bCs/>
                <w:kern w:val="0"/>
                <w:szCs w:val="21"/>
              </w:rPr>
            </w:pPr>
            <w:r>
              <w:rPr>
                <w:rFonts w:eastAsia="仿宋_GB2312"/>
                <w:b/>
                <w:bCs/>
                <w:kern w:val="0"/>
                <w:szCs w:val="21"/>
              </w:rPr>
              <w:t>2021年决算数</w:t>
            </w:r>
          </w:p>
        </w:tc>
        <w:tc>
          <w:tcPr>
            <w:tcW w:w="2142" w:type="dxa"/>
            <w:gridSpan w:val="2"/>
            <w:vAlign w:val="center"/>
          </w:tcPr>
          <w:p>
            <w:pPr>
              <w:widowControl/>
              <w:jc w:val="center"/>
              <w:rPr>
                <w:rFonts w:hint="default" w:eastAsia="仿宋_GB2312"/>
                <w:b/>
                <w:bCs/>
                <w:kern w:val="0"/>
                <w:szCs w:val="21"/>
              </w:rPr>
            </w:pPr>
            <w:r>
              <w:rPr>
                <w:rFonts w:eastAsia="仿宋_GB2312"/>
                <w:b/>
                <w:bCs/>
                <w:kern w:val="0"/>
                <w:szCs w:val="21"/>
              </w:rPr>
              <w:t>2022年预算数</w:t>
            </w:r>
          </w:p>
        </w:tc>
        <w:tc>
          <w:tcPr>
            <w:tcW w:w="1930" w:type="dxa"/>
            <w:gridSpan w:val="2"/>
            <w:vAlign w:val="center"/>
          </w:tcPr>
          <w:p>
            <w:pPr>
              <w:widowControl/>
              <w:jc w:val="center"/>
              <w:rPr>
                <w:rFonts w:hint="default" w:eastAsia="仿宋_GB2312"/>
                <w:b/>
                <w:bCs/>
                <w:kern w:val="0"/>
                <w:szCs w:val="21"/>
              </w:rPr>
            </w:pPr>
            <w:r>
              <w:rPr>
                <w:rFonts w:eastAsia="仿宋_GB2312"/>
                <w:b/>
                <w:bCs/>
                <w:kern w:val="0"/>
                <w:szCs w:val="21"/>
              </w:rPr>
              <w:t>2022年决算数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3354" w:type="dxa"/>
            <w:vAlign w:val="center"/>
          </w:tcPr>
          <w:p>
            <w:pPr>
              <w:widowControl/>
              <w:jc w:val="left"/>
              <w:rPr>
                <w:rFonts w:hint="default" w:eastAsia="仿宋_GB2312"/>
                <w:kern w:val="0"/>
                <w:szCs w:val="21"/>
              </w:rPr>
            </w:pPr>
            <w:r>
              <w:rPr>
                <w:rFonts w:eastAsia="仿宋_GB2312"/>
                <w:kern w:val="0"/>
                <w:szCs w:val="21"/>
              </w:rPr>
              <w:t>三公经费</w:t>
            </w:r>
          </w:p>
        </w:tc>
        <w:tc>
          <w:tcPr>
            <w:tcW w:w="2038" w:type="dxa"/>
            <w:gridSpan w:val="2"/>
            <w:vAlign w:val="center"/>
          </w:tcPr>
          <w:p>
            <w:pPr>
              <w:widowControl/>
              <w:jc w:val="center"/>
              <w:rPr>
                <w:rFonts w:hint="default" w:eastAsia="仿宋_GB2312"/>
                <w:kern w:val="0"/>
                <w:szCs w:val="21"/>
              </w:rPr>
            </w:pPr>
            <w:r>
              <w:rPr>
                <w:rFonts w:eastAsia="仿宋_GB2312"/>
                <w:kern w:val="0"/>
                <w:szCs w:val="21"/>
              </w:rPr>
              <w:t>5.50</w:t>
            </w:r>
          </w:p>
        </w:tc>
        <w:tc>
          <w:tcPr>
            <w:tcW w:w="2142" w:type="dxa"/>
            <w:gridSpan w:val="2"/>
            <w:vAlign w:val="center"/>
          </w:tcPr>
          <w:p>
            <w:pPr>
              <w:widowControl/>
              <w:jc w:val="center"/>
              <w:rPr>
                <w:rFonts w:hint="default" w:eastAsia="仿宋_GB2312"/>
                <w:kern w:val="0"/>
                <w:szCs w:val="21"/>
              </w:rPr>
            </w:pPr>
            <w:r>
              <w:rPr>
                <w:rFonts w:eastAsia="仿宋_GB2312"/>
                <w:kern w:val="0"/>
                <w:szCs w:val="21"/>
              </w:rPr>
              <w:t>9.00</w:t>
            </w:r>
          </w:p>
        </w:tc>
        <w:tc>
          <w:tcPr>
            <w:tcW w:w="1930" w:type="dxa"/>
            <w:gridSpan w:val="2"/>
            <w:vAlign w:val="center"/>
          </w:tcPr>
          <w:p>
            <w:pPr>
              <w:widowControl/>
              <w:jc w:val="center"/>
              <w:rPr>
                <w:rFonts w:hint="default" w:eastAsia="仿宋_GB2312"/>
                <w:kern w:val="0"/>
                <w:szCs w:val="21"/>
              </w:rPr>
            </w:pPr>
            <w:r>
              <w:rPr>
                <w:rFonts w:eastAsia="仿宋_GB2312"/>
                <w:kern w:val="0"/>
                <w:szCs w:val="21"/>
              </w:rPr>
              <w:t>6.44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3354" w:type="dxa"/>
            <w:vAlign w:val="center"/>
          </w:tcPr>
          <w:p>
            <w:pPr>
              <w:widowControl/>
              <w:jc w:val="left"/>
              <w:rPr>
                <w:rFonts w:hint="default" w:eastAsia="仿宋_GB2312"/>
                <w:kern w:val="0"/>
                <w:szCs w:val="21"/>
              </w:rPr>
            </w:pPr>
            <w:r>
              <w:rPr>
                <w:rFonts w:eastAsia="仿宋_GB2312"/>
                <w:kern w:val="0"/>
                <w:szCs w:val="21"/>
              </w:rPr>
              <w:t xml:space="preserve">   1、公务用车购置和维护经费</w:t>
            </w:r>
          </w:p>
        </w:tc>
        <w:tc>
          <w:tcPr>
            <w:tcW w:w="2038" w:type="dxa"/>
            <w:gridSpan w:val="2"/>
            <w:vAlign w:val="center"/>
          </w:tcPr>
          <w:p>
            <w:pPr>
              <w:widowControl/>
              <w:jc w:val="center"/>
              <w:rPr>
                <w:rFonts w:hint="default" w:eastAsia="仿宋_GB2312"/>
                <w:kern w:val="0"/>
                <w:szCs w:val="21"/>
              </w:rPr>
            </w:pPr>
            <w:r>
              <w:rPr>
                <w:rFonts w:eastAsia="仿宋_GB2312"/>
                <w:kern w:val="0"/>
                <w:szCs w:val="21"/>
              </w:rPr>
              <w:t>2.33</w:t>
            </w:r>
          </w:p>
        </w:tc>
        <w:tc>
          <w:tcPr>
            <w:tcW w:w="2142" w:type="dxa"/>
            <w:gridSpan w:val="2"/>
            <w:vAlign w:val="center"/>
          </w:tcPr>
          <w:p>
            <w:pPr>
              <w:widowControl/>
              <w:jc w:val="center"/>
              <w:rPr>
                <w:rFonts w:hint="default" w:eastAsia="仿宋_GB2312"/>
                <w:kern w:val="0"/>
                <w:szCs w:val="21"/>
              </w:rPr>
            </w:pPr>
            <w:r>
              <w:rPr>
                <w:rFonts w:eastAsia="仿宋_GB2312"/>
                <w:kern w:val="0"/>
                <w:szCs w:val="21"/>
              </w:rPr>
              <w:t>5.00</w:t>
            </w:r>
          </w:p>
        </w:tc>
        <w:tc>
          <w:tcPr>
            <w:tcW w:w="1930" w:type="dxa"/>
            <w:gridSpan w:val="2"/>
            <w:vAlign w:val="center"/>
          </w:tcPr>
          <w:p>
            <w:pPr>
              <w:widowControl/>
              <w:jc w:val="center"/>
              <w:rPr>
                <w:rFonts w:hint="default" w:eastAsia="仿宋_GB2312"/>
                <w:kern w:val="0"/>
                <w:szCs w:val="21"/>
              </w:rPr>
            </w:pPr>
            <w:r>
              <w:rPr>
                <w:rFonts w:eastAsia="仿宋_GB2312"/>
                <w:kern w:val="0"/>
                <w:szCs w:val="21"/>
              </w:rPr>
              <w:t>4.98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3354" w:type="dxa"/>
            <w:vAlign w:val="center"/>
          </w:tcPr>
          <w:p>
            <w:pPr>
              <w:widowControl/>
              <w:jc w:val="left"/>
              <w:rPr>
                <w:rFonts w:hint="default" w:eastAsia="仿宋_GB2312"/>
                <w:kern w:val="0"/>
                <w:szCs w:val="21"/>
              </w:rPr>
            </w:pPr>
            <w:r>
              <w:rPr>
                <w:rFonts w:eastAsia="仿宋_GB2312"/>
                <w:kern w:val="0"/>
                <w:szCs w:val="21"/>
              </w:rPr>
              <w:t xml:space="preserve">       其中：公车购置</w:t>
            </w:r>
          </w:p>
        </w:tc>
        <w:tc>
          <w:tcPr>
            <w:tcW w:w="2038" w:type="dxa"/>
            <w:gridSpan w:val="2"/>
            <w:vAlign w:val="center"/>
          </w:tcPr>
          <w:p>
            <w:pPr>
              <w:widowControl/>
              <w:jc w:val="center"/>
              <w:rPr>
                <w:rFonts w:hint="default" w:eastAsia="仿宋_GB2312"/>
                <w:kern w:val="0"/>
                <w:szCs w:val="21"/>
              </w:rPr>
            </w:pPr>
            <w:r>
              <w:rPr>
                <w:rFonts w:eastAsia="仿宋_GB2312"/>
                <w:kern w:val="0"/>
                <w:szCs w:val="21"/>
              </w:rPr>
              <w:t>0</w:t>
            </w:r>
          </w:p>
        </w:tc>
        <w:tc>
          <w:tcPr>
            <w:tcW w:w="2142" w:type="dxa"/>
            <w:gridSpan w:val="2"/>
            <w:vAlign w:val="center"/>
          </w:tcPr>
          <w:p>
            <w:pPr>
              <w:widowControl/>
              <w:jc w:val="center"/>
              <w:rPr>
                <w:rFonts w:hint="default" w:eastAsia="仿宋_GB2312"/>
                <w:kern w:val="0"/>
                <w:szCs w:val="21"/>
              </w:rPr>
            </w:pPr>
            <w:r>
              <w:rPr>
                <w:rFonts w:eastAsia="仿宋_GB2312"/>
                <w:kern w:val="0"/>
                <w:szCs w:val="21"/>
              </w:rPr>
              <w:t>0</w:t>
            </w:r>
          </w:p>
        </w:tc>
        <w:tc>
          <w:tcPr>
            <w:tcW w:w="1930" w:type="dxa"/>
            <w:gridSpan w:val="2"/>
            <w:vAlign w:val="center"/>
          </w:tcPr>
          <w:p>
            <w:pPr>
              <w:widowControl/>
              <w:jc w:val="center"/>
              <w:rPr>
                <w:rFonts w:hint="default" w:eastAsia="仿宋_GB2312"/>
                <w:kern w:val="0"/>
                <w:szCs w:val="21"/>
              </w:rPr>
            </w:pPr>
            <w:r>
              <w:rPr>
                <w:rFonts w:eastAsia="仿宋_GB2312"/>
                <w:kern w:val="0"/>
                <w:szCs w:val="21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3354" w:type="dxa"/>
            <w:vAlign w:val="center"/>
          </w:tcPr>
          <w:p>
            <w:pPr>
              <w:widowControl/>
              <w:jc w:val="left"/>
              <w:rPr>
                <w:rFonts w:hint="default" w:eastAsia="仿宋_GB2312"/>
                <w:kern w:val="0"/>
                <w:szCs w:val="21"/>
              </w:rPr>
            </w:pPr>
            <w:r>
              <w:rPr>
                <w:rFonts w:eastAsia="仿宋_GB2312"/>
                <w:kern w:val="0"/>
                <w:szCs w:val="21"/>
              </w:rPr>
              <w:t xml:space="preserve">             公车运行维护</w:t>
            </w:r>
          </w:p>
        </w:tc>
        <w:tc>
          <w:tcPr>
            <w:tcW w:w="2038" w:type="dxa"/>
            <w:gridSpan w:val="2"/>
            <w:vAlign w:val="center"/>
          </w:tcPr>
          <w:p>
            <w:pPr>
              <w:widowControl/>
              <w:jc w:val="center"/>
              <w:rPr>
                <w:rFonts w:hint="default" w:eastAsia="仿宋_GB2312"/>
                <w:kern w:val="0"/>
                <w:szCs w:val="21"/>
              </w:rPr>
            </w:pPr>
            <w:r>
              <w:rPr>
                <w:rFonts w:eastAsia="仿宋_GB2312"/>
                <w:kern w:val="0"/>
                <w:szCs w:val="21"/>
              </w:rPr>
              <w:t>2.33</w:t>
            </w:r>
          </w:p>
        </w:tc>
        <w:tc>
          <w:tcPr>
            <w:tcW w:w="2142" w:type="dxa"/>
            <w:gridSpan w:val="2"/>
            <w:vAlign w:val="center"/>
          </w:tcPr>
          <w:p>
            <w:pPr>
              <w:widowControl/>
              <w:jc w:val="center"/>
              <w:rPr>
                <w:rFonts w:hint="default" w:eastAsia="仿宋_GB2312"/>
                <w:kern w:val="0"/>
                <w:szCs w:val="21"/>
              </w:rPr>
            </w:pPr>
            <w:r>
              <w:rPr>
                <w:rFonts w:eastAsia="仿宋_GB2312"/>
                <w:kern w:val="0"/>
                <w:szCs w:val="21"/>
              </w:rPr>
              <w:t>5.00</w:t>
            </w:r>
          </w:p>
        </w:tc>
        <w:tc>
          <w:tcPr>
            <w:tcW w:w="1930" w:type="dxa"/>
            <w:gridSpan w:val="2"/>
            <w:vAlign w:val="center"/>
          </w:tcPr>
          <w:p>
            <w:pPr>
              <w:widowControl/>
              <w:jc w:val="center"/>
              <w:rPr>
                <w:rFonts w:hint="default" w:eastAsia="仿宋_GB2312"/>
                <w:kern w:val="0"/>
                <w:szCs w:val="21"/>
              </w:rPr>
            </w:pPr>
            <w:r>
              <w:rPr>
                <w:rFonts w:eastAsia="仿宋_GB2312"/>
                <w:kern w:val="0"/>
                <w:szCs w:val="21"/>
              </w:rPr>
              <w:t>4.98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3354" w:type="dxa"/>
            <w:vAlign w:val="center"/>
          </w:tcPr>
          <w:p>
            <w:pPr>
              <w:widowControl/>
              <w:jc w:val="left"/>
              <w:rPr>
                <w:rFonts w:hint="default" w:eastAsia="仿宋_GB2312"/>
                <w:kern w:val="0"/>
                <w:szCs w:val="21"/>
              </w:rPr>
            </w:pPr>
            <w:r>
              <w:rPr>
                <w:rFonts w:eastAsia="仿宋_GB2312"/>
                <w:kern w:val="0"/>
                <w:szCs w:val="21"/>
              </w:rPr>
              <w:t xml:space="preserve">   2、出国经费</w:t>
            </w:r>
          </w:p>
        </w:tc>
        <w:tc>
          <w:tcPr>
            <w:tcW w:w="2038" w:type="dxa"/>
            <w:gridSpan w:val="2"/>
            <w:vAlign w:val="center"/>
          </w:tcPr>
          <w:p>
            <w:pPr>
              <w:widowControl/>
              <w:jc w:val="center"/>
              <w:rPr>
                <w:rFonts w:hint="default" w:eastAsia="仿宋_GB2312"/>
                <w:kern w:val="0"/>
                <w:szCs w:val="21"/>
              </w:rPr>
            </w:pPr>
            <w:r>
              <w:rPr>
                <w:rFonts w:eastAsia="仿宋_GB2312"/>
                <w:kern w:val="0"/>
                <w:szCs w:val="21"/>
              </w:rPr>
              <w:t>0</w:t>
            </w:r>
          </w:p>
        </w:tc>
        <w:tc>
          <w:tcPr>
            <w:tcW w:w="2142" w:type="dxa"/>
            <w:gridSpan w:val="2"/>
            <w:vAlign w:val="center"/>
          </w:tcPr>
          <w:p>
            <w:pPr>
              <w:widowControl/>
              <w:jc w:val="center"/>
              <w:rPr>
                <w:rFonts w:hint="default" w:eastAsia="仿宋_GB2312"/>
                <w:kern w:val="0"/>
                <w:szCs w:val="21"/>
              </w:rPr>
            </w:pPr>
            <w:r>
              <w:rPr>
                <w:rFonts w:eastAsia="仿宋_GB2312"/>
                <w:kern w:val="0"/>
                <w:szCs w:val="21"/>
              </w:rPr>
              <w:t>0</w:t>
            </w:r>
          </w:p>
        </w:tc>
        <w:tc>
          <w:tcPr>
            <w:tcW w:w="1930" w:type="dxa"/>
            <w:gridSpan w:val="2"/>
            <w:vAlign w:val="center"/>
          </w:tcPr>
          <w:p>
            <w:pPr>
              <w:widowControl/>
              <w:jc w:val="center"/>
              <w:rPr>
                <w:rFonts w:hint="default" w:eastAsia="仿宋_GB2312"/>
                <w:kern w:val="0"/>
                <w:szCs w:val="21"/>
              </w:rPr>
            </w:pPr>
            <w:r>
              <w:rPr>
                <w:rFonts w:eastAsia="仿宋_GB2312"/>
                <w:kern w:val="0"/>
                <w:szCs w:val="21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3354" w:type="dxa"/>
            <w:vAlign w:val="center"/>
          </w:tcPr>
          <w:p>
            <w:pPr>
              <w:widowControl/>
              <w:jc w:val="left"/>
              <w:rPr>
                <w:rFonts w:hint="default" w:eastAsia="仿宋_GB2312"/>
                <w:kern w:val="0"/>
                <w:szCs w:val="21"/>
              </w:rPr>
            </w:pPr>
            <w:r>
              <w:rPr>
                <w:rFonts w:eastAsia="仿宋_GB2312"/>
                <w:kern w:val="0"/>
                <w:szCs w:val="21"/>
              </w:rPr>
              <w:t xml:space="preserve">   3、公务接待</w:t>
            </w:r>
          </w:p>
        </w:tc>
        <w:tc>
          <w:tcPr>
            <w:tcW w:w="2038" w:type="dxa"/>
            <w:gridSpan w:val="2"/>
            <w:vAlign w:val="center"/>
          </w:tcPr>
          <w:p>
            <w:pPr>
              <w:widowControl/>
              <w:jc w:val="center"/>
              <w:rPr>
                <w:rFonts w:hint="default" w:eastAsia="仿宋_GB2312"/>
                <w:kern w:val="0"/>
                <w:szCs w:val="21"/>
              </w:rPr>
            </w:pPr>
            <w:r>
              <w:rPr>
                <w:rFonts w:eastAsia="仿宋_GB2312"/>
                <w:kern w:val="0"/>
                <w:szCs w:val="21"/>
              </w:rPr>
              <w:t>3.17</w:t>
            </w:r>
          </w:p>
        </w:tc>
        <w:tc>
          <w:tcPr>
            <w:tcW w:w="2142" w:type="dxa"/>
            <w:gridSpan w:val="2"/>
            <w:vAlign w:val="center"/>
          </w:tcPr>
          <w:p>
            <w:pPr>
              <w:widowControl/>
              <w:jc w:val="center"/>
              <w:rPr>
                <w:rFonts w:hint="default" w:eastAsia="仿宋_GB2312"/>
                <w:kern w:val="0"/>
                <w:szCs w:val="21"/>
              </w:rPr>
            </w:pPr>
            <w:r>
              <w:rPr>
                <w:rFonts w:eastAsia="仿宋_GB2312"/>
                <w:kern w:val="0"/>
                <w:szCs w:val="21"/>
              </w:rPr>
              <w:t>4.00</w:t>
            </w:r>
          </w:p>
        </w:tc>
        <w:tc>
          <w:tcPr>
            <w:tcW w:w="1930" w:type="dxa"/>
            <w:gridSpan w:val="2"/>
            <w:vAlign w:val="center"/>
          </w:tcPr>
          <w:p>
            <w:pPr>
              <w:widowControl/>
              <w:jc w:val="center"/>
              <w:rPr>
                <w:rFonts w:hint="default" w:eastAsia="仿宋_GB2312"/>
                <w:kern w:val="0"/>
                <w:szCs w:val="21"/>
              </w:rPr>
            </w:pPr>
            <w:r>
              <w:rPr>
                <w:rFonts w:eastAsia="仿宋_GB2312"/>
                <w:kern w:val="0"/>
                <w:szCs w:val="21"/>
              </w:rPr>
              <w:t>1.46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3354" w:type="dxa"/>
            <w:vAlign w:val="center"/>
          </w:tcPr>
          <w:p>
            <w:pPr>
              <w:widowControl/>
              <w:jc w:val="left"/>
              <w:rPr>
                <w:rFonts w:hint="default" w:eastAsia="仿宋_GB2312"/>
                <w:kern w:val="0"/>
                <w:szCs w:val="21"/>
              </w:rPr>
            </w:pPr>
            <w:r>
              <w:rPr>
                <w:rFonts w:eastAsia="仿宋_GB2312"/>
                <w:kern w:val="0"/>
                <w:szCs w:val="21"/>
              </w:rPr>
              <w:t>项目支出：</w:t>
            </w:r>
          </w:p>
        </w:tc>
        <w:tc>
          <w:tcPr>
            <w:tcW w:w="2038" w:type="dxa"/>
            <w:gridSpan w:val="2"/>
            <w:vAlign w:val="center"/>
          </w:tcPr>
          <w:p>
            <w:pPr>
              <w:widowControl/>
              <w:jc w:val="center"/>
              <w:rPr>
                <w:rFonts w:hint="default" w:eastAsia="仿宋_GB2312"/>
                <w:kern w:val="0"/>
                <w:szCs w:val="21"/>
              </w:rPr>
            </w:pPr>
            <w:r>
              <w:rPr>
                <w:rFonts w:eastAsia="仿宋_GB2312"/>
                <w:kern w:val="0"/>
                <w:szCs w:val="21"/>
              </w:rPr>
              <w:t>305.35</w:t>
            </w:r>
          </w:p>
        </w:tc>
        <w:tc>
          <w:tcPr>
            <w:tcW w:w="2142" w:type="dxa"/>
            <w:gridSpan w:val="2"/>
            <w:vAlign w:val="center"/>
          </w:tcPr>
          <w:p>
            <w:pPr>
              <w:widowControl/>
              <w:jc w:val="center"/>
              <w:rPr>
                <w:rFonts w:hint="default" w:eastAsia="仿宋_GB2312"/>
                <w:kern w:val="0"/>
                <w:szCs w:val="21"/>
              </w:rPr>
            </w:pPr>
            <w:r>
              <w:rPr>
                <w:rFonts w:eastAsia="仿宋_GB2312"/>
                <w:kern w:val="0"/>
                <w:szCs w:val="21"/>
              </w:rPr>
              <w:t>142.00</w:t>
            </w:r>
          </w:p>
        </w:tc>
        <w:tc>
          <w:tcPr>
            <w:tcW w:w="1930" w:type="dxa"/>
            <w:gridSpan w:val="2"/>
            <w:vAlign w:val="center"/>
          </w:tcPr>
          <w:p>
            <w:pPr>
              <w:widowControl/>
              <w:jc w:val="center"/>
              <w:rPr>
                <w:rFonts w:hint="default" w:eastAsia="仿宋_GB2312"/>
                <w:kern w:val="0"/>
                <w:szCs w:val="21"/>
              </w:rPr>
            </w:pPr>
            <w:r>
              <w:rPr>
                <w:rFonts w:eastAsia="仿宋_GB2312"/>
                <w:kern w:val="0"/>
                <w:szCs w:val="21"/>
              </w:rPr>
              <w:t>769.94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3354" w:type="dxa"/>
            <w:vAlign w:val="center"/>
          </w:tcPr>
          <w:p>
            <w:pPr>
              <w:widowControl/>
              <w:jc w:val="left"/>
              <w:rPr>
                <w:rFonts w:hint="default" w:eastAsia="仿宋_GB2312"/>
                <w:kern w:val="0"/>
                <w:szCs w:val="21"/>
              </w:rPr>
            </w:pPr>
            <w:r>
              <w:rPr>
                <w:rFonts w:eastAsia="仿宋_GB2312"/>
                <w:kern w:val="0"/>
                <w:szCs w:val="21"/>
              </w:rPr>
              <w:t xml:space="preserve">    1、业务工作经费</w:t>
            </w:r>
          </w:p>
        </w:tc>
        <w:tc>
          <w:tcPr>
            <w:tcW w:w="2038" w:type="dxa"/>
            <w:gridSpan w:val="2"/>
            <w:vAlign w:val="center"/>
          </w:tcPr>
          <w:p>
            <w:pPr>
              <w:widowControl/>
              <w:jc w:val="center"/>
              <w:rPr>
                <w:rFonts w:hint="default" w:eastAsia="仿宋_GB2312"/>
                <w:kern w:val="0"/>
                <w:szCs w:val="21"/>
              </w:rPr>
            </w:pPr>
            <w:r>
              <w:rPr>
                <w:rFonts w:eastAsia="仿宋_GB2312"/>
                <w:kern w:val="0"/>
                <w:szCs w:val="21"/>
              </w:rPr>
              <w:t>237.07</w:t>
            </w:r>
          </w:p>
        </w:tc>
        <w:tc>
          <w:tcPr>
            <w:tcW w:w="2142" w:type="dxa"/>
            <w:gridSpan w:val="2"/>
            <w:vAlign w:val="center"/>
          </w:tcPr>
          <w:p>
            <w:pPr>
              <w:widowControl/>
              <w:jc w:val="center"/>
              <w:rPr>
                <w:rFonts w:hint="default" w:eastAsia="仿宋_GB2312"/>
                <w:kern w:val="0"/>
                <w:szCs w:val="21"/>
              </w:rPr>
            </w:pPr>
            <w:r>
              <w:rPr>
                <w:rFonts w:eastAsia="仿宋_GB2312"/>
                <w:kern w:val="0"/>
                <w:szCs w:val="21"/>
              </w:rPr>
              <w:t>122.00</w:t>
            </w:r>
          </w:p>
        </w:tc>
        <w:tc>
          <w:tcPr>
            <w:tcW w:w="1930" w:type="dxa"/>
            <w:gridSpan w:val="2"/>
            <w:vAlign w:val="center"/>
          </w:tcPr>
          <w:p>
            <w:pPr>
              <w:widowControl/>
              <w:jc w:val="center"/>
              <w:rPr>
                <w:rFonts w:hint="default" w:eastAsia="仿宋_GB2312"/>
                <w:kern w:val="0"/>
                <w:szCs w:val="21"/>
              </w:rPr>
            </w:pPr>
            <w:r>
              <w:rPr>
                <w:rFonts w:eastAsia="仿宋_GB2312"/>
                <w:kern w:val="0"/>
                <w:szCs w:val="21"/>
              </w:rPr>
              <w:t>704.69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3354" w:type="dxa"/>
            <w:vAlign w:val="center"/>
          </w:tcPr>
          <w:p>
            <w:pPr>
              <w:widowControl/>
              <w:jc w:val="left"/>
              <w:rPr>
                <w:rFonts w:hint="default" w:eastAsia="仿宋_GB2312"/>
                <w:kern w:val="0"/>
                <w:szCs w:val="21"/>
              </w:rPr>
            </w:pPr>
            <w:r>
              <w:rPr>
                <w:rFonts w:eastAsia="仿宋_GB2312"/>
                <w:kern w:val="0"/>
                <w:szCs w:val="21"/>
              </w:rPr>
              <w:t xml:space="preserve">    2、运行维护经费</w:t>
            </w:r>
          </w:p>
        </w:tc>
        <w:tc>
          <w:tcPr>
            <w:tcW w:w="2038" w:type="dxa"/>
            <w:gridSpan w:val="2"/>
            <w:vAlign w:val="center"/>
          </w:tcPr>
          <w:p>
            <w:pPr>
              <w:widowControl/>
              <w:jc w:val="center"/>
              <w:rPr>
                <w:rFonts w:hint="default" w:eastAsia="仿宋_GB2312"/>
                <w:kern w:val="0"/>
                <w:szCs w:val="21"/>
              </w:rPr>
            </w:pPr>
            <w:r>
              <w:rPr>
                <w:rFonts w:eastAsia="仿宋_GB2312"/>
                <w:kern w:val="0"/>
                <w:szCs w:val="21"/>
              </w:rPr>
              <w:t>68.28</w:t>
            </w:r>
          </w:p>
        </w:tc>
        <w:tc>
          <w:tcPr>
            <w:tcW w:w="2142" w:type="dxa"/>
            <w:gridSpan w:val="2"/>
            <w:vAlign w:val="center"/>
          </w:tcPr>
          <w:p>
            <w:pPr>
              <w:widowControl/>
              <w:jc w:val="center"/>
              <w:rPr>
                <w:rFonts w:hint="default" w:eastAsia="仿宋_GB2312"/>
                <w:kern w:val="0"/>
                <w:szCs w:val="21"/>
              </w:rPr>
            </w:pPr>
            <w:r>
              <w:rPr>
                <w:rFonts w:eastAsia="仿宋_GB2312"/>
                <w:kern w:val="0"/>
                <w:szCs w:val="21"/>
              </w:rPr>
              <w:t>20.00</w:t>
            </w:r>
          </w:p>
        </w:tc>
        <w:tc>
          <w:tcPr>
            <w:tcW w:w="1930" w:type="dxa"/>
            <w:gridSpan w:val="2"/>
            <w:vAlign w:val="center"/>
          </w:tcPr>
          <w:p>
            <w:pPr>
              <w:widowControl/>
              <w:jc w:val="center"/>
              <w:rPr>
                <w:rFonts w:hint="default" w:eastAsia="仿宋_GB2312"/>
                <w:kern w:val="0"/>
                <w:szCs w:val="21"/>
              </w:rPr>
            </w:pPr>
            <w:r>
              <w:rPr>
                <w:rFonts w:eastAsia="仿宋_GB2312"/>
                <w:kern w:val="0"/>
                <w:szCs w:val="21"/>
              </w:rPr>
              <w:t>65.25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3354" w:type="dxa"/>
            <w:vAlign w:val="center"/>
          </w:tcPr>
          <w:p>
            <w:pPr>
              <w:widowControl/>
              <w:ind w:firstLine="420" w:firstLineChars="200"/>
              <w:jc w:val="left"/>
              <w:rPr>
                <w:rFonts w:hint="default" w:eastAsia="仿宋_GB2312"/>
                <w:kern w:val="0"/>
                <w:szCs w:val="21"/>
              </w:rPr>
            </w:pPr>
            <w:r>
              <w:rPr>
                <w:rFonts w:eastAsia="仿宋_GB2312"/>
                <w:kern w:val="0"/>
                <w:szCs w:val="21"/>
              </w:rPr>
              <w:t>3、市级专项资金</w:t>
            </w:r>
          </w:p>
          <w:p>
            <w:pPr>
              <w:widowControl/>
              <w:ind w:firstLine="630" w:firstLineChars="300"/>
              <w:jc w:val="left"/>
              <w:rPr>
                <w:rFonts w:hint="default" w:eastAsia="仿宋_GB2312"/>
                <w:kern w:val="0"/>
                <w:szCs w:val="21"/>
              </w:rPr>
            </w:pPr>
            <w:r>
              <w:rPr>
                <w:rFonts w:eastAsia="仿宋_GB2312"/>
                <w:kern w:val="0"/>
                <w:szCs w:val="21"/>
              </w:rPr>
              <w:t>（一个专项一行）</w:t>
            </w:r>
          </w:p>
        </w:tc>
        <w:tc>
          <w:tcPr>
            <w:tcW w:w="2038" w:type="dxa"/>
            <w:gridSpan w:val="2"/>
            <w:vAlign w:val="center"/>
          </w:tcPr>
          <w:p>
            <w:pPr>
              <w:widowControl/>
              <w:jc w:val="center"/>
              <w:rPr>
                <w:rFonts w:hint="default" w:eastAsia="仿宋_GB2312"/>
                <w:kern w:val="0"/>
                <w:szCs w:val="21"/>
              </w:rPr>
            </w:pPr>
            <w:r>
              <w:rPr>
                <w:rFonts w:eastAsia="仿宋_GB2312"/>
                <w:kern w:val="0"/>
                <w:szCs w:val="21"/>
              </w:rPr>
              <w:t>0</w:t>
            </w:r>
          </w:p>
        </w:tc>
        <w:tc>
          <w:tcPr>
            <w:tcW w:w="2142" w:type="dxa"/>
            <w:gridSpan w:val="2"/>
            <w:vAlign w:val="center"/>
          </w:tcPr>
          <w:p>
            <w:pPr>
              <w:widowControl/>
              <w:jc w:val="center"/>
              <w:rPr>
                <w:rFonts w:hint="default" w:eastAsia="仿宋_GB2312"/>
                <w:kern w:val="0"/>
                <w:szCs w:val="21"/>
              </w:rPr>
            </w:pPr>
            <w:r>
              <w:rPr>
                <w:rFonts w:eastAsia="仿宋_GB2312"/>
                <w:kern w:val="0"/>
                <w:szCs w:val="21"/>
              </w:rPr>
              <w:t>0</w:t>
            </w:r>
          </w:p>
        </w:tc>
        <w:tc>
          <w:tcPr>
            <w:tcW w:w="1930" w:type="dxa"/>
            <w:gridSpan w:val="2"/>
            <w:vAlign w:val="center"/>
          </w:tcPr>
          <w:p>
            <w:pPr>
              <w:widowControl/>
              <w:jc w:val="center"/>
              <w:rPr>
                <w:rFonts w:hint="default" w:eastAsia="仿宋_GB2312"/>
                <w:kern w:val="0"/>
                <w:szCs w:val="21"/>
              </w:rPr>
            </w:pPr>
            <w:r>
              <w:rPr>
                <w:rFonts w:eastAsia="仿宋_GB2312"/>
                <w:kern w:val="0"/>
                <w:szCs w:val="21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3354" w:type="dxa"/>
            <w:vAlign w:val="center"/>
          </w:tcPr>
          <w:p>
            <w:pPr>
              <w:widowControl/>
              <w:ind w:firstLine="420" w:firstLineChars="200"/>
              <w:jc w:val="left"/>
              <w:rPr>
                <w:rFonts w:hint="default" w:eastAsia="仿宋_GB2312"/>
                <w:kern w:val="0"/>
                <w:szCs w:val="21"/>
              </w:rPr>
            </w:pPr>
            <w:r>
              <w:rPr>
                <w:rFonts w:eastAsia="仿宋_GB2312"/>
                <w:kern w:val="0"/>
                <w:szCs w:val="21"/>
              </w:rPr>
              <w:t>4、其他事业类发展资金</w:t>
            </w:r>
          </w:p>
        </w:tc>
        <w:tc>
          <w:tcPr>
            <w:tcW w:w="2038" w:type="dxa"/>
            <w:gridSpan w:val="2"/>
            <w:vAlign w:val="center"/>
          </w:tcPr>
          <w:p>
            <w:pPr>
              <w:widowControl/>
              <w:jc w:val="center"/>
              <w:rPr>
                <w:rFonts w:hint="default" w:eastAsia="仿宋_GB2312"/>
                <w:kern w:val="0"/>
                <w:szCs w:val="21"/>
              </w:rPr>
            </w:pPr>
            <w:r>
              <w:rPr>
                <w:rFonts w:eastAsia="仿宋_GB2312"/>
                <w:kern w:val="0"/>
                <w:szCs w:val="21"/>
              </w:rPr>
              <w:t>0　</w:t>
            </w:r>
          </w:p>
        </w:tc>
        <w:tc>
          <w:tcPr>
            <w:tcW w:w="2142" w:type="dxa"/>
            <w:gridSpan w:val="2"/>
            <w:vAlign w:val="center"/>
          </w:tcPr>
          <w:p>
            <w:pPr>
              <w:widowControl/>
              <w:jc w:val="center"/>
              <w:rPr>
                <w:rFonts w:hint="default" w:eastAsia="仿宋_GB2312"/>
                <w:kern w:val="0"/>
                <w:szCs w:val="21"/>
              </w:rPr>
            </w:pPr>
            <w:r>
              <w:rPr>
                <w:rFonts w:eastAsia="仿宋_GB2312"/>
                <w:kern w:val="0"/>
                <w:szCs w:val="21"/>
              </w:rPr>
              <w:t>0</w:t>
            </w:r>
          </w:p>
        </w:tc>
        <w:tc>
          <w:tcPr>
            <w:tcW w:w="1930" w:type="dxa"/>
            <w:gridSpan w:val="2"/>
            <w:vAlign w:val="center"/>
          </w:tcPr>
          <w:p>
            <w:pPr>
              <w:widowControl/>
              <w:jc w:val="center"/>
              <w:rPr>
                <w:rFonts w:hint="default" w:eastAsia="仿宋_GB2312"/>
                <w:kern w:val="0"/>
                <w:szCs w:val="21"/>
              </w:rPr>
            </w:pPr>
            <w:r>
              <w:rPr>
                <w:rFonts w:eastAsia="仿宋_GB2312"/>
                <w:kern w:val="0"/>
                <w:szCs w:val="21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3354" w:type="dxa"/>
            <w:vAlign w:val="center"/>
          </w:tcPr>
          <w:p>
            <w:pPr>
              <w:widowControl/>
              <w:jc w:val="center"/>
              <w:rPr>
                <w:rFonts w:hint="default" w:eastAsia="仿宋_GB2312"/>
                <w:kern w:val="0"/>
                <w:szCs w:val="21"/>
              </w:rPr>
            </w:pPr>
            <w:r>
              <w:rPr>
                <w:rFonts w:eastAsia="仿宋_GB2312"/>
                <w:kern w:val="0"/>
                <w:szCs w:val="21"/>
              </w:rPr>
              <w:t>……</w:t>
            </w:r>
          </w:p>
        </w:tc>
        <w:tc>
          <w:tcPr>
            <w:tcW w:w="2038" w:type="dxa"/>
            <w:gridSpan w:val="2"/>
            <w:vAlign w:val="center"/>
          </w:tcPr>
          <w:p>
            <w:pPr>
              <w:widowControl/>
              <w:jc w:val="center"/>
              <w:rPr>
                <w:rFonts w:hint="default" w:eastAsia="仿宋_GB2312"/>
                <w:kern w:val="0"/>
                <w:szCs w:val="21"/>
              </w:rPr>
            </w:pPr>
          </w:p>
        </w:tc>
        <w:tc>
          <w:tcPr>
            <w:tcW w:w="2142" w:type="dxa"/>
            <w:gridSpan w:val="2"/>
            <w:vAlign w:val="center"/>
          </w:tcPr>
          <w:p>
            <w:pPr>
              <w:widowControl/>
              <w:jc w:val="center"/>
              <w:rPr>
                <w:rFonts w:hint="default" w:eastAsia="仿宋_GB2312"/>
                <w:kern w:val="0"/>
                <w:szCs w:val="21"/>
              </w:rPr>
            </w:pPr>
          </w:p>
        </w:tc>
        <w:tc>
          <w:tcPr>
            <w:tcW w:w="1930" w:type="dxa"/>
            <w:gridSpan w:val="2"/>
            <w:vAlign w:val="center"/>
          </w:tcPr>
          <w:p>
            <w:pPr>
              <w:widowControl/>
              <w:jc w:val="center"/>
              <w:rPr>
                <w:rFonts w:hint="default" w:eastAsia="仿宋_GB2312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3354" w:type="dxa"/>
            <w:vAlign w:val="center"/>
          </w:tcPr>
          <w:p>
            <w:pPr>
              <w:widowControl/>
              <w:jc w:val="left"/>
              <w:rPr>
                <w:rFonts w:hint="default" w:eastAsia="仿宋_GB2312"/>
                <w:kern w:val="0"/>
                <w:szCs w:val="21"/>
              </w:rPr>
            </w:pPr>
            <w:r>
              <w:rPr>
                <w:rFonts w:eastAsia="仿宋_GB2312"/>
                <w:kern w:val="0"/>
                <w:szCs w:val="21"/>
              </w:rPr>
              <w:t>公用经费</w:t>
            </w:r>
          </w:p>
        </w:tc>
        <w:tc>
          <w:tcPr>
            <w:tcW w:w="2038" w:type="dxa"/>
            <w:gridSpan w:val="2"/>
            <w:vAlign w:val="center"/>
          </w:tcPr>
          <w:p>
            <w:pPr>
              <w:widowControl/>
              <w:jc w:val="center"/>
              <w:rPr>
                <w:rFonts w:hint="default" w:eastAsia="仿宋_GB2312"/>
                <w:kern w:val="0"/>
                <w:szCs w:val="21"/>
              </w:rPr>
            </w:pPr>
            <w:r>
              <w:rPr>
                <w:rFonts w:eastAsia="仿宋_GB2312"/>
                <w:kern w:val="0"/>
                <w:szCs w:val="21"/>
              </w:rPr>
              <w:t>82.96</w:t>
            </w:r>
          </w:p>
        </w:tc>
        <w:tc>
          <w:tcPr>
            <w:tcW w:w="2142" w:type="dxa"/>
            <w:gridSpan w:val="2"/>
            <w:vAlign w:val="center"/>
          </w:tcPr>
          <w:p>
            <w:pPr>
              <w:widowControl/>
              <w:jc w:val="center"/>
              <w:rPr>
                <w:rFonts w:hint="default" w:eastAsia="仿宋_GB2312"/>
                <w:kern w:val="0"/>
                <w:szCs w:val="21"/>
              </w:rPr>
            </w:pPr>
            <w:r>
              <w:rPr>
                <w:rFonts w:eastAsia="仿宋_GB2312"/>
                <w:kern w:val="0"/>
                <w:szCs w:val="21"/>
              </w:rPr>
              <w:t>65.99</w:t>
            </w:r>
          </w:p>
        </w:tc>
        <w:tc>
          <w:tcPr>
            <w:tcW w:w="1930" w:type="dxa"/>
            <w:gridSpan w:val="2"/>
            <w:vAlign w:val="center"/>
          </w:tcPr>
          <w:p>
            <w:pPr>
              <w:widowControl/>
              <w:jc w:val="center"/>
              <w:rPr>
                <w:rFonts w:hint="default" w:eastAsia="仿宋_GB2312"/>
                <w:kern w:val="0"/>
                <w:szCs w:val="21"/>
              </w:rPr>
            </w:pPr>
            <w:r>
              <w:rPr>
                <w:rFonts w:eastAsia="仿宋_GB2312"/>
                <w:kern w:val="0"/>
                <w:szCs w:val="21"/>
              </w:rPr>
              <w:t>114.85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3354" w:type="dxa"/>
            <w:vAlign w:val="center"/>
          </w:tcPr>
          <w:p>
            <w:pPr>
              <w:widowControl/>
              <w:jc w:val="left"/>
              <w:rPr>
                <w:rFonts w:hint="default" w:eastAsia="仿宋_GB2312"/>
                <w:kern w:val="0"/>
                <w:szCs w:val="21"/>
              </w:rPr>
            </w:pPr>
            <w:r>
              <w:rPr>
                <w:rFonts w:eastAsia="仿宋_GB2312"/>
                <w:kern w:val="0"/>
                <w:szCs w:val="21"/>
              </w:rPr>
              <w:t xml:space="preserve">    其中：办公费</w:t>
            </w:r>
          </w:p>
        </w:tc>
        <w:tc>
          <w:tcPr>
            <w:tcW w:w="2038" w:type="dxa"/>
            <w:gridSpan w:val="2"/>
            <w:vAlign w:val="center"/>
          </w:tcPr>
          <w:p>
            <w:pPr>
              <w:widowControl/>
              <w:jc w:val="center"/>
              <w:rPr>
                <w:rFonts w:hint="default" w:eastAsia="仿宋_GB2312"/>
                <w:color w:val="FF0000"/>
                <w:kern w:val="0"/>
                <w:szCs w:val="21"/>
              </w:rPr>
            </w:pPr>
            <w:r>
              <w:rPr>
                <w:rFonts w:eastAsia="仿宋_GB2312"/>
                <w:kern w:val="0"/>
                <w:szCs w:val="21"/>
              </w:rPr>
              <w:t>1.66　</w:t>
            </w:r>
          </w:p>
        </w:tc>
        <w:tc>
          <w:tcPr>
            <w:tcW w:w="2142" w:type="dxa"/>
            <w:gridSpan w:val="2"/>
            <w:vAlign w:val="center"/>
          </w:tcPr>
          <w:p>
            <w:pPr>
              <w:widowControl/>
              <w:jc w:val="center"/>
              <w:rPr>
                <w:rFonts w:hint="default" w:eastAsia="仿宋_GB2312"/>
                <w:kern w:val="0"/>
                <w:szCs w:val="21"/>
              </w:rPr>
            </w:pPr>
            <w:r>
              <w:rPr>
                <w:rFonts w:eastAsia="仿宋_GB2312"/>
                <w:kern w:val="0"/>
                <w:szCs w:val="21"/>
              </w:rPr>
              <w:t>2.28</w:t>
            </w:r>
          </w:p>
        </w:tc>
        <w:tc>
          <w:tcPr>
            <w:tcW w:w="1930" w:type="dxa"/>
            <w:gridSpan w:val="2"/>
            <w:vAlign w:val="center"/>
          </w:tcPr>
          <w:p>
            <w:pPr>
              <w:widowControl/>
              <w:jc w:val="center"/>
              <w:rPr>
                <w:rFonts w:hint="default" w:eastAsia="仿宋_GB2312"/>
                <w:kern w:val="0"/>
                <w:szCs w:val="21"/>
              </w:rPr>
            </w:pPr>
            <w:r>
              <w:rPr>
                <w:rFonts w:eastAsia="仿宋_GB2312"/>
                <w:kern w:val="0"/>
                <w:szCs w:val="21"/>
              </w:rPr>
              <w:t>4.79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3354" w:type="dxa"/>
            <w:vAlign w:val="center"/>
          </w:tcPr>
          <w:p>
            <w:pPr>
              <w:widowControl/>
              <w:jc w:val="left"/>
              <w:rPr>
                <w:rFonts w:hint="default" w:eastAsia="仿宋_GB2312"/>
                <w:kern w:val="0"/>
                <w:szCs w:val="21"/>
              </w:rPr>
            </w:pPr>
            <w:r>
              <w:rPr>
                <w:rFonts w:eastAsia="仿宋_GB2312"/>
                <w:kern w:val="0"/>
                <w:szCs w:val="21"/>
              </w:rPr>
              <w:t xml:space="preserve">          水费、电费、差旅费</w:t>
            </w:r>
          </w:p>
        </w:tc>
        <w:tc>
          <w:tcPr>
            <w:tcW w:w="2038" w:type="dxa"/>
            <w:gridSpan w:val="2"/>
            <w:vAlign w:val="center"/>
          </w:tcPr>
          <w:p>
            <w:pPr>
              <w:widowControl/>
              <w:jc w:val="center"/>
              <w:rPr>
                <w:rFonts w:hint="default" w:eastAsia="仿宋_GB2312"/>
                <w:color w:val="FF0000"/>
                <w:kern w:val="0"/>
                <w:szCs w:val="21"/>
              </w:rPr>
            </w:pPr>
            <w:r>
              <w:rPr>
                <w:rFonts w:eastAsia="仿宋_GB2312"/>
                <w:kern w:val="0"/>
                <w:szCs w:val="21"/>
              </w:rPr>
              <w:t>10.62　</w:t>
            </w:r>
          </w:p>
        </w:tc>
        <w:tc>
          <w:tcPr>
            <w:tcW w:w="2142" w:type="dxa"/>
            <w:gridSpan w:val="2"/>
            <w:vAlign w:val="center"/>
          </w:tcPr>
          <w:p>
            <w:pPr>
              <w:widowControl/>
              <w:jc w:val="center"/>
              <w:rPr>
                <w:rFonts w:hint="default" w:eastAsia="仿宋_GB2312"/>
                <w:kern w:val="0"/>
                <w:szCs w:val="21"/>
              </w:rPr>
            </w:pPr>
            <w:r>
              <w:rPr>
                <w:rFonts w:eastAsia="仿宋_GB2312"/>
                <w:kern w:val="0"/>
                <w:szCs w:val="21"/>
              </w:rPr>
              <w:t>9.1</w:t>
            </w:r>
          </w:p>
        </w:tc>
        <w:tc>
          <w:tcPr>
            <w:tcW w:w="1930" w:type="dxa"/>
            <w:gridSpan w:val="2"/>
            <w:vAlign w:val="center"/>
          </w:tcPr>
          <w:p>
            <w:pPr>
              <w:widowControl/>
              <w:jc w:val="center"/>
              <w:rPr>
                <w:rFonts w:hint="default" w:eastAsia="仿宋_GB2312"/>
                <w:kern w:val="0"/>
                <w:szCs w:val="21"/>
              </w:rPr>
            </w:pPr>
            <w:r>
              <w:rPr>
                <w:rFonts w:eastAsia="仿宋_GB2312"/>
                <w:kern w:val="0"/>
                <w:szCs w:val="21"/>
              </w:rPr>
              <w:t>7.64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3354" w:type="dxa"/>
            <w:vAlign w:val="center"/>
          </w:tcPr>
          <w:p>
            <w:pPr>
              <w:widowControl/>
              <w:jc w:val="left"/>
              <w:rPr>
                <w:rFonts w:hint="default" w:eastAsia="仿宋_GB2312"/>
                <w:kern w:val="0"/>
                <w:szCs w:val="21"/>
              </w:rPr>
            </w:pPr>
            <w:r>
              <w:rPr>
                <w:rFonts w:eastAsia="仿宋_GB2312"/>
                <w:kern w:val="0"/>
                <w:szCs w:val="21"/>
              </w:rPr>
              <w:t xml:space="preserve">          会议费、培训费</w:t>
            </w:r>
          </w:p>
        </w:tc>
        <w:tc>
          <w:tcPr>
            <w:tcW w:w="2038" w:type="dxa"/>
            <w:gridSpan w:val="2"/>
            <w:vAlign w:val="center"/>
          </w:tcPr>
          <w:p>
            <w:pPr>
              <w:widowControl/>
              <w:jc w:val="center"/>
              <w:rPr>
                <w:rFonts w:hint="default" w:eastAsia="仿宋_GB2312"/>
                <w:color w:val="FF0000"/>
                <w:kern w:val="0"/>
                <w:szCs w:val="21"/>
              </w:rPr>
            </w:pPr>
            <w:r>
              <w:rPr>
                <w:rFonts w:eastAsia="仿宋_GB2312"/>
                <w:kern w:val="0"/>
                <w:szCs w:val="21"/>
              </w:rPr>
              <w:t>0.11</w:t>
            </w:r>
          </w:p>
        </w:tc>
        <w:tc>
          <w:tcPr>
            <w:tcW w:w="2142" w:type="dxa"/>
            <w:gridSpan w:val="2"/>
            <w:vAlign w:val="center"/>
          </w:tcPr>
          <w:p>
            <w:pPr>
              <w:widowControl/>
              <w:jc w:val="center"/>
              <w:rPr>
                <w:rFonts w:hint="default" w:eastAsia="仿宋_GB2312"/>
                <w:kern w:val="0"/>
                <w:szCs w:val="21"/>
              </w:rPr>
            </w:pPr>
            <w:r>
              <w:rPr>
                <w:rFonts w:eastAsia="仿宋_GB2312"/>
                <w:kern w:val="0"/>
                <w:szCs w:val="21"/>
              </w:rPr>
              <w:t>1.68</w:t>
            </w:r>
          </w:p>
        </w:tc>
        <w:tc>
          <w:tcPr>
            <w:tcW w:w="1930" w:type="dxa"/>
            <w:gridSpan w:val="2"/>
            <w:vAlign w:val="center"/>
          </w:tcPr>
          <w:p>
            <w:pPr>
              <w:widowControl/>
              <w:jc w:val="center"/>
              <w:rPr>
                <w:rFonts w:hint="default" w:eastAsia="仿宋_GB2312"/>
                <w:kern w:val="0"/>
                <w:szCs w:val="21"/>
              </w:rPr>
            </w:pPr>
            <w:r>
              <w:rPr>
                <w:rFonts w:eastAsia="仿宋_GB2312"/>
                <w:kern w:val="0"/>
                <w:szCs w:val="21"/>
              </w:rPr>
              <w:t>0.69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3354" w:type="dxa"/>
            <w:vAlign w:val="center"/>
          </w:tcPr>
          <w:p>
            <w:pPr>
              <w:widowControl/>
              <w:jc w:val="left"/>
              <w:rPr>
                <w:rFonts w:hint="default" w:eastAsia="仿宋_GB2312"/>
                <w:kern w:val="0"/>
                <w:szCs w:val="21"/>
              </w:rPr>
            </w:pPr>
            <w:r>
              <w:rPr>
                <w:rFonts w:eastAsia="仿宋_GB2312"/>
                <w:kern w:val="0"/>
                <w:szCs w:val="21"/>
              </w:rPr>
              <w:t>政府采购金额</w:t>
            </w:r>
          </w:p>
        </w:tc>
        <w:tc>
          <w:tcPr>
            <w:tcW w:w="2038" w:type="dxa"/>
            <w:gridSpan w:val="2"/>
            <w:vAlign w:val="center"/>
          </w:tcPr>
          <w:p>
            <w:pPr>
              <w:widowControl/>
              <w:jc w:val="center"/>
              <w:rPr>
                <w:rFonts w:hint="default" w:eastAsia="仿宋_GB2312"/>
                <w:kern w:val="0"/>
                <w:szCs w:val="21"/>
              </w:rPr>
            </w:pPr>
            <w:r>
              <w:rPr>
                <w:rFonts w:eastAsia="仿宋_GB2312"/>
                <w:kern w:val="0"/>
                <w:szCs w:val="21"/>
              </w:rPr>
              <w:t>44.98</w:t>
            </w:r>
          </w:p>
        </w:tc>
        <w:tc>
          <w:tcPr>
            <w:tcW w:w="2142" w:type="dxa"/>
            <w:gridSpan w:val="2"/>
            <w:vAlign w:val="center"/>
          </w:tcPr>
          <w:p>
            <w:pPr>
              <w:widowControl/>
              <w:jc w:val="center"/>
              <w:rPr>
                <w:rFonts w:hint="default" w:eastAsia="仿宋_GB2312"/>
                <w:kern w:val="0"/>
                <w:szCs w:val="21"/>
              </w:rPr>
            </w:pPr>
            <w:r>
              <w:rPr>
                <w:rFonts w:eastAsia="仿宋_GB2312"/>
                <w:kern w:val="0"/>
                <w:szCs w:val="21"/>
              </w:rPr>
              <w:t>4.38</w:t>
            </w:r>
          </w:p>
        </w:tc>
        <w:tc>
          <w:tcPr>
            <w:tcW w:w="1930" w:type="dxa"/>
            <w:gridSpan w:val="2"/>
            <w:vAlign w:val="center"/>
          </w:tcPr>
          <w:p>
            <w:pPr>
              <w:widowControl/>
              <w:jc w:val="center"/>
              <w:rPr>
                <w:rFonts w:hint="default" w:eastAsia="仿宋_GB2312"/>
                <w:kern w:val="0"/>
                <w:szCs w:val="21"/>
              </w:rPr>
            </w:pPr>
            <w:r>
              <w:rPr>
                <w:rFonts w:eastAsia="仿宋_GB2312"/>
                <w:kern w:val="0"/>
                <w:szCs w:val="21"/>
              </w:rPr>
              <w:t>326.69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3354" w:type="dxa"/>
            <w:vAlign w:val="center"/>
          </w:tcPr>
          <w:p>
            <w:pPr>
              <w:widowControl/>
              <w:jc w:val="left"/>
              <w:rPr>
                <w:rFonts w:hint="default" w:eastAsia="仿宋_GB2312"/>
                <w:kern w:val="0"/>
                <w:szCs w:val="21"/>
              </w:rPr>
            </w:pPr>
            <w:r>
              <w:rPr>
                <w:rFonts w:eastAsia="仿宋_GB2312"/>
                <w:kern w:val="0"/>
                <w:szCs w:val="21"/>
              </w:rPr>
              <w:t xml:space="preserve">部门基本支出预算调整 </w:t>
            </w:r>
          </w:p>
        </w:tc>
        <w:tc>
          <w:tcPr>
            <w:tcW w:w="2038" w:type="dxa"/>
            <w:gridSpan w:val="2"/>
            <w:vAlign w:val="center"/>
          </w:tcPr>
          <w:p>
            <w:pPr>
              <w:widowControl/>
              <w:jc w:val="center"/>
              <w:rPr>
                <w:rFonts w:hint="default" w:eastAsia="仿宋_GB2312"/>
                <w:kern w:val="0"/>
                <w:szCs w:val="21"/>
              </w:rPr>
            </w:pPr>
            <w:r>
              <w:rPr>
                <w:rFonts w:eastAsia="仿宋_GB2312"/>
                <w:kern w:val="0"/>
                <w:szCs w:val="21"/>
              </w:rPr>
              <w:t>439.18　</w:t>
            </w:r>
          </w:p>
        </w:tc>
        <w:tc>
          <w:tcPr>
            <w:tcW w:w="2142" w:type="dxa"/>
            <w:gridSpan w:val="2"/>
            <w:vAlign w:val="center"/>
          </w:tcPr>
          <w:p>
            <w:pPr>
              <w:widowControl/>
              <w:jc w:val="center"/>
              <w:rPr>
                <w:rFonts w:hint="default" w:eastAsia="仿宋_GB2312"/>
                <w:kern w:val="0"/>
                <w:szCs w:val="21"/>
              </w:rPr>
            </w:pPr>
            <w:r>
              <w:rPr>
                <w:rFonts w:eastAsia="仿宋_GB2312"/>
                <w:kern w:val="0"/>
                <w:szCs w:val="21"/>
              </w:rPr>
              <w:t>532.99</w:t>
            </w:r>
          </w:p>
        </w:tc>
        <w:tc>
          <w:tcPr>
            <w:tcW w:w="1930" w:type="dxa"/>
            <w:gridSpan w:val="2"/>
            <w:vAlign w:val="center"/>
          </w:tcPr>
          <w:p>
            <w:pPr>
              <w:widowControl/>
              <w:jc w:val="center"/>
              <w:rPr>
                <w:rFonts w:hint="default" w:eastAsia="仿宋_GB2312"/>
                <w:kern w:val="0"/>
                <w:szCs w:val="21"/>
              </w:rPr>
            </w:pPr>
            <w:r>
              <w:rPr>
                <w:rFonts w:eastAsia="仿宋_GB2312"/>
                <w:kern w:val="0"/>
                <w:szCs w:val="21"/>
              </w:rPr>
              <w:t>532.99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7" w:hRule="atLeast"/>
          <w:jc w:val="center"/>
        </w:trPr>
        <w:tc>
          <w:tcPr>
            <w:tcW w:w="3354" w:type="dxa"/>
            <w:vMerge w:val="restart"/>
            <w:vAlign w:val="center"/>
          </w:tcPr>
          <w:p>
            <w:pPr>
              <w:widowControl/>
              <w:jc w:val="center"/>
              <w:rPr>
                <w:rFonts w:hint="default" w:eastAsia="仿宋_GB2312"/>
                <w:kern w:val="0"/>
                <w:szCs w:val="21"/>
              </w:rPr>
            </w:pPr>
            <w:r>
              <w:rPr>
                <w:rFonts w:eastAsia="仿宋_GB2312"/>
                <w:kern w:val="0"/>
                <w:szCs w:val="21"/>
              </w:rPr>
              <w:t>楼堂馆所控制情况</w:t>
            </w:r>
          </w:p>
          <w:p>
            <w:pPr>
              <w:widowControl/>
              <w:jc w:val="center"/>
              <w:rPr>
                <w:rFonts w:hint="default" w:eastAsia="仿宋_GB2312"/>
                <w:kern w:val="0"/>
                <w:szCs w:val="21"/>
              </w:rPr>
            </w:pPr>
            <w:r>
              <w:rPr>
                <w:rFonts w:eastAsia="仿宋_GB2312"/>
                <w:kern w:val="0"/>
                <w:szCs w:val="21"/>
              </w:rPr>
              <w:t>（2022年完工项目）</w:t>
            </w:r>
          </w:p>
        </w:tc>
        <w:tc>
          <w:tcPr>
            <w:tcW w:w="1189" w:type="dxa"/>
            <w:vAlign w:val="center"/>
          </w:tcPr>
          <w:p>
            <w:pPr>
              <w:widowControl/>
              <w:spacing w:line="240" w:lineRule="exact"/>
              <w:jc w:val="center"/>
              <w:rPr>
                <w:rFonts w:hint="default" w:eastAsia="仿宋_GB2312"/>
                <w:bCs/>
                <w:kern w:val="0"/>
                <w:szCs w:val="21"/>
              </w:rPr>
            </w:pPr>
            <w:r>
              <w:rPr>
                <w:rFonts w:eastAsia="仿宋_GB2312"/>
                <w:bCs/>
                <w:kern w:val="0"/>
                <w:szCs w:val="21"/>
              </w:rPr>
              <w:t>批复规模</w:t>
            </w:r>
          </w:p>
          <w:p>
            <w:pPr>
              <w:widowControl/>
              <w:spacing w:line="240" w:lineRule="exact"/>
              <w:jc w:val="center"/>
              <w:rPr>
                <w:rFonts w:hint="default" w:eastAsia="仿宋_GB2312"/>
                <w:bCs/>
                <w:kern w:val="0"/>
                <w:szCs w:val="21"/>
              </w:rPr>
            </w:pPr>
            <w:r>
              <w:rPr>
                <w:rFonts w:eastAsia="仿宋_GB2312"/>
                <w:bCs/>
                <w:kern w:val="0"/>
                <w:szCs w:val="21"/>
              </w:rPr>
              <w:t>（</w:t>
            </w:r>
            <w:r>
              <w:rPr>
                <w:rFonts w:eastAsia="Batang"/>
                <w:bCs/>
                <w:kern w:val="0"/>
                <w:szCs w:val="21"/>
              </w:rPr>
              <w:t>㎡</w:t>
            </w:r>
            <w:r>
              <w:rPr>
                <w:rFonts w:eastAsia="仿宋_GB2312"/>
                <w:bCs/>
                <w:kern w:val="0"/>
                <w:szCs w:val="21"/>
              </w:rPr>
              <w:t>）</w:t>
            </w:r>
          </w:p>
        </w:tc>
        <w:tc>
          <w:tcPr>
            <w:tcW w:w="849" w:type="dxa"/>
            <w:vAlign w:val="center"/>
          </w:tcPr>
          <w:p>
            <w:pPr>
              <w:widowControl/>
              <w:spacing w:line="240" w:lineRule="exact"/>
              <w:jc w:val="center"/>
              <w:rPr>
                <w:rFonts w:hint="default" w:eastAsia="仿宋_GB2312"/>
                <w:bCs/>
                <w:kern w:val="0"/>
                <w:szCs w:val="21"/>
              </w:rPr>
            </w:pPr>
            <w:r>
              <w:rPr>
                <w:rFonts w:eastAsia="仿宋_GB2312"/>
                <w:bCs/>
                <w:kern w:val="0"/>
                <w:szCs w:val="21"/>
              </w:rPr>
              <w:t>实际规模（</w:t>
            </w:r>
            <w:r>
              <w:rPr>
                <w:rFonts w:eastAsia="Batang"/>
                <w:bCs/>
                <w:kern w:val="0"/>
                <w:szCs w:val="21"/>
              </w:rPr>
              <w:t>㎡</w:t>
            </w:r>
            <w:r>
              <w:rPr>
                <w:rFonts w:eastAsia="仿宋_GB2312"/>
                <w:bCs/>
                <w:kern w:val="0"/>
                <w:szCs w:val="21"/>
              </w:rPr>
              <w:t>）</w:t>
            </w:r>
          </w:p>
        </w:tc>
        <w:tc>
          <w:tcPr>
            <w:tcW w:w="983" w:type="dxa"/>
            <w:vAlign w:val="center"/>
          </w:tcPr>
          <w:p>
            <w:pPr>
              <w:widowControl/>
              <w:spacing w:line="240" w:lineRule="exact"/>
              <w:jc w:val="center"/>
              <w:rPr>
                <w:rFonts w:hint="default" w:eastAsia="仿宋_GB2312"/>
                <w:bCs/>
                <w:kern w:val="0"/>
                <w:szCs w:val="21"/>
              </w:rPr>
            </w:pPr>
            <w:r>
              <w:rPr>
                <w:rFonts w:eastAsia="仿宋_GB2312"/>
                <w:bCs/>
                <w:kern w:val="0"/>
                <w:szCs w:val="21"/>
              </w:rPr>
              <w:t>规模控制率</w:t>
            </w:r>
          </w:p>
        </w:tc>
        <w:tc>
          <w:tcPr>
            <w:tcW w:w="1159" w:type="dxa"/>
            <w:vAlign w:val="center"/>
          </w:tcPr>
          <w:p>
            <w:pPr>
              <w:widowControl/>
              <w:spacing w:line="240" w:lineRule="exact"/>
              <w:jc w:val="center"/>
              <w:rPr>
                <w:rFonts w:hint="default" w:eastAsia="仿宋_GB2312"/>
                <w:bCs/>
                <w:kern w:val="0"/>
                <w:szCs w:val="21"/>
              </w:rPr>
            </w:pPr>
            <w:r>
              <w:rPr>
                <w:rFonts w:eastAsia="仿宋_GB2312"/>
                <w:bCs/>
                <w:kern w:val="0"/>
                <w:szCs w:val="21"/>
              </w:rPr>
              <w:t>预算投资（万元）</w:t>
            </w:r>
          </w:p>
        </w:tc>
        <w:tc>
          <w:tcPr>
            <w:tcW w:w="1067" w:type="dxa"/>
            <w:vAlign w:val="center"/>
          </w:tcPr>
          <w:p>
            <w:pPr>
              <w:widowControl/>
              <w:spacing w:line="240" w:lineRule="exact"/>
              <w:jc w:val="center"/>
              <w:rPr>
                <w:rFonts w:hint="default" w:eastAsia="仿宋_GB2312"/>
                <w:bCs/>
                <w:kern w:val="0"/>
                <w:szCs w:val="21"/>
              </w:rPr>
            </w:pPr>
            <w:r>
              <w:rPr>
                <w:rFonts w:eastAsia="仿宋_GB2312"/>
                <w:bCs/>
                <w:kern w:val="0"/>
                <w:szCs w:val="21"/>
              </w:rPr>
              <w:t>实际投资（万元）</w:t>
            </w:r>
          </w:p>
        </w:tc>
        <w:tc>
          <w:tcPr>
            <w:tcW w:w="863" w:type="dxa"/>
            <w:vAlign w:val="center"/>
          </w:tcPr>
          <w:p>
            <w:pPr>
              <w:widowControl/>
              <w:spacing w:line="240" w:lineRule="exact"/>
              <w:jc w:val="center"/>
              <w:rPr>
                <w:rFonts w:hint="default" w:eastAsia="仿宋_GB2312"/>
                <w:bCs/>
                <w:kern w:val="0"/>
                <w:szCs w:val="21"/>
              </w:rPr>
            </w:pPr>
            <w:r>
              <w:rPr>
                <w:rFonts w:eastAsia="仿宋_GB2312"/>
                <w:bCs/>
                <w:kern w:val="0"/>
                <w:szCs w:val="21"/>
              </w:rPr>
              <w:t>投资概算控制率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354" w:type="dxa"/>
            <w:vMerge w:val="continue"/>
            <w:vAlign w:val="center"/>
          </w:tcPr>
          <w:p>
            <w:pPr>
              <w:widowControl/>
              <w:jc w:val="left"/>
              <w:rPr>
                <w:rFonts w:hint="default" w:eastAsia="仿宋_GB2312"/>
                <w:kern w:val="0"/>
                <w:szCs w:val="21"/>
              </w:rPr>
            </w:pPr>
          </w:p>
        </w:tc>
        <w:tc>
          <w:tcPr>
            <w:tcW w:w="1189" w:type="dxa"/>
            <w:vAlign w:val="center"/>
          </w:tcPr>
          <w:p>
            <w:pPr>
              <w:widowControl/>
              <w:jc w:val="center"/>
              <w:rPr>
                <w:rFonts w:hint="default" w:eastAsia="仿宋_GB2312"/>
                <w:kern w:val="0"/>
                <w:szCs w:val="21"/>
              </w:rPr>
            </w:pPr>
            <w:r>
              <w:rPr>
                <w:rFonts w:eastAsia="仿宋_GB2312"/>
                <w:kern w:val="0"/>
                <w:szCs w:val="21"/>
              </w:rPr>
              <w:t>　0</w:t>
            </w:r>
          </w:p>
        </w:tc>
        <w:tc>
          <w:tcPr>
            <w:tcW w:w="849" w:type="dxa"/>
            <w:vAlign w:val="center"/>
          </w:tcPr>
          <w:p>
            <w:pPr>
              <w:widowControl/>
              <w:jc w:val="left"/>
              <w:rPr>
                <w:rFonts w:hint="default" w:eastAsia="仿宋_GB2312"/>
                <w:kern w:val="0"/>
                <w:szCs w:val="21"/>
              </w:rPr>
            </w:pPr>
            <w:r>
              <w:rPr>
                <w:rFonts w:eastAsia="仿宋_GB2312"/>
                <w:kern w:val="0"/>
                <w:szCs w:val="21"/>
              </w:rPr>
              <w:t>　0</w:t>
            </w:r>
          </w:p>
        </w:tc>
        <w:tc>
          <w:tcPr>
            <w:tcW w:w="983" w:type="dxa"/>
            <w:vAlign w:val="center"/>
          </w:tcPr>
          <w:p>
            <w:pPr>
              <w:widowControl/>
              <w:jc w:val="left"/>
              <w:rPr>
                <w:rFonts w:hint="default" w:eastAsia="仿宋_GB2312"/>
                <w:kern w:val="0"/>
                <w:szCs w:val="21"/>
              </w:rPr>
            </w:pPr>
            <w:r>
              <w:rPr>
                <w:rFonts w:eastAsia="仿宋_GB2312"/>
                <w:kern w:val="0"/>
                <w:szCs w:val="21"/>
              </w:rPr>
              <w:t>　0</w:t>
            </w:r>
          </w:p>
        </w:tc>
        <w:tc>
          <w:tcPr>
            <w:tcW w:w="1159" w:type="dxa"/>
            <w:vAlign w:val="center"/>
          </w:tcPr>
          <w:p>
            <w:pPr>
              <w:widowControl/>
              <w:jc w:val="left"/>
              <w:rPr>
                <w:rFonts w:hint="default" w:eastAsia="仿宋_GB2312"/>
                <w:kern w:val="0"/>
                <w:szCs w:val="21"/>
              </w:rPr>
            </w:pPr>
            <w:r>
              <w:rPr>
                <w:rFonts w:eastAsia="仿宋_GB2312"/>
                <w:kern w:val="0"/>
                <w:szCs w:val="21"/>
              </w:rPr>
              <w:t>　0</w:t>
            </w:r>
          </w:p>
        </w:tc>
        <w:tc>
          <w:tcPr>
            <w:tcW w:w="1067" w:type="dxa"/>
            <w:vAlign w:val="center"/>
          </w:tcPr>
          <w:p>
            <w:pPr>
              <w:widowControl/>
              <w:jc w:val="left"/>
              <w:rPr>
                <w:rFonts w:hint="default" w:eastAsia="仿宋_GB2312"/>
                <w:kern w:val="0"/>
                <w:szCs w:val="21"/>
              </w:rPr>
            </w:pPr>
            <w:r>
              <w:rPr>
                <w:rFonts w:eastAsia="仿宋_GB2312"/>
                <w:kern w:val="0"/>
                <w:szCs w:val="21"/>
              </w:rPr>
              <w:t>　0</w:t>
            </w:r>
          </w:p>
        </w:tc>
        <w:tc>
          <w:tcPr>
            <w:tcW w:w="863" w:type="dxa"/>
            <w:vAlign w:val="center"/>
          </w:tcPr>
          <w:p>
            <w:pPr>
              <w:widowControl/>
              <w:jc w:val="left"/>
              <w:rPr>
                <w:rFonts w:hint="default" w:eastAsia="仿宋_GB2312"/>
                <w:kern w:val="0"/>
                <w:szCs w:val="21"/>
              </w:rPr>
            </w:pPr>
            <w:r>
              <w:rPr>
                <w:rFonts w:eastAsia="仿宋_GB2312"/>
                <w:kern w:val="0"/>
                <w:szCs w:val="21"/>
              </w:rPr>
              <w:t>　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0" w:hRule="atLeast"/>
          <w:jc w:val="center"/>
        </w:trPr>
        <w:tc>
          <w:tcPr>
            <w:tcW w:w="3354" w:type="dxa"/>
            <w:vAlign w:val="center"/>
          </w:tcPr>
          <w:p>
            <w:pPr>
              <w:widowControl/>
              <w:jc w:val="center"/>
              <w:rPr>
                <w:rFonts w:hint="default" w:eastAsia="仿宋_GB2312"/>
                <w:kern w:val="0"/>
                <w:szCs w:val="21"/>
              </w:rPr>
            </w:pPr>
            <w:r>
              <w:rPr>
                <w:rFonts w:eastAsia="仿宋_GB2312"/>
                <w:kern w:val="0"/>
                <w:szCs w:val="21"/>
              </w:rPr>
              <w:t>厉行节约保障措施</w:t>
            </w:r>
          </w:p>
        </w:tc>
        <w:tc>
          <w:tcPr>
            <w:tcW w:w="6110" w:type="dxa"/>
            <w:gridSpan w:val="6"/>
            <w:vAlign w:val="center"/>
          </w:tcPr>
          <w:p>
            <w:pPr>
              <w:widowControl/>
              <w:jc w:val="left"/>
              <w:rPr>
                <w:rFonts w:hint="default" w:eastAsia="仿宋_GB2312"/>
                <w:kern w:val="0"/>
                <w:szCs w:val="21"/>
              </w:rPr>
            </w:pPr>
            <w:r>
              <w:rPr>
                <w:rFonts w:eastAsia="仿宋_GB2312"/>
                <w:kern w:val="0"/>
                <w:szCs w:val="21"/>
              </w:rPr>
              <w:t>1、加强节水节电管理；2、推行网络办公，降低耗材采购成本；3、加强预算和支出管理；4、加强公务用车和运行经费管理；5、严格执行公务接待管理办法，严禁超标准接待。　</w:t>
            </w:r>
          </w:p>
        </w:tc>
      </w:tr>
    </w:tbl>
    <w:p>
      <w:pPr>
        <w:spacing w:line="360" w:lineRule="exact"/>
        <w:ind w:firstLine="440" w:firstLineChars="200"/>
        <w:rPr>
          <w:rFonts w:hint="eastAsia" w:eastAsia="黑体"/>
          <w:sz w:val="32"/>
          <w:szCs w:val="32"/>
          <w:lang w:eastAsia="zh-CN"/>
        </w:rPr>
      </w:pPr>
      <w:r>
        <w:rPr>
          <w:rFonts w:eastAsia="仿宋_GB2312"/>
          <w:kern w:val="0"/>
          <w:sz w:val="22"/>
        </w:rPr>
        <w:t>说明：“项目支出”需要填报基本支出以外的所有项目支出情况，“公用经费”填报基本支出中的一般商品和服务支出。</w:t>
      </w:r>
      <w:r>
        <w:rPr>
          <w:rFonts w:eastAsia="仿宋_GB2312"/>
          <w:kern w:val="0"/>
          <w:sz w:val="22"/>
        </w:rPr>
        <w:br w:type="page"/>
      </w:r>
      <w:r>
        <w:rPr>
          <w:rFonts w:eastAsia="黑体"/>
          <w:sz w:val="32"/>
          <w:szCs w:val="32"/>
        </w:rPr>
        <w:t>附件</w:t>
      </w:r>
      <w:r>
        <w:rPr>
          <w:rFonts w:hint="eastAsia" w:eastAsia="黑体"/>
          <w:sz w:val="32"/>
          <w:szCs w:val="32"/>
          <w:lang w:val="en-US" w:eastAsia="zh-CN"/>
        </w:rPr>
        <w:t>2</w:t>
      </w:r>
      <w:bookmarkStart w:id="0" w:name="_GoBack"/>
      <w:bookmarkEnd w:id="0"/>
    </w:p>
    <w:p>
      <w:pPr>
        <w:spacing w:line="560" w:lineRule="exact"/>
        <w:jc w:val="center"/>
        <w:rPr>
          <w:rFonts w:hint="default" w:ascii="方正小标宋简体" w:hAnsi="方正小标宋简体" w:eastAsia="方正小标宋简体" w:cs="方正小标宋简体"/>
          <w:kern w:val="0"/>
          <w:sz w:val="44"/>
          <w:szCs w:val="44"/>
        </w:rPr>
      </w:pPr>
      <w:r>
        <w:rPr>
          <w:rFonts w:ascii="方正小标宋简体" w:hAnsi="方正小标宋简体" w:eastAsia="方正小标宋简体" w:cs="方正小标宋简体"/>
          <w:kern w:val="0"/>
          <w:sz w:val="44"/>
          <w:szCs w:val="44"/>
        </w:rPr>
        <w:t>部门整体支出绩效自评表</w:t>
      </w:r>
    </w:p>
    <w:p>
      <w:pPr>
        <w:widowControl/>
        <w:jc w:val="center"/>
        <w:rPr>
          <w:rFonts w:hint="default" w:eastAsia="仿宋_GB2312"/>
          <w:color w:val="000000"/>
          <w:kern w:val="0"/>
          <w:szCs w:val="21"/>
        </w:rPr>
      </w:pPr>
      <w:r>
        <w:rPr>
          <w:rFonts w:eastAsia="仿宋_GB2312"/>
          <w:color w:val="000000"/>
          <w:kern w:val="0"/>
          <w:szCs w:val="21"/>
        </w:rPr>
        <w:t>（  2022 年度）</w:t>
      </w:r>
    </w:p>
    <w:tbl>
      <w:tblPr>
        <w:tblStyle w:val="3"/>
        <w:tblW w:w="1035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6"/>
        <w:gridCol w:w="1080"/>
        <w:gridCol w:w="322"/>
        <w:gridCol w:w="1179"/>
        <w:gridCol w:w="961"/>
        <w:gridCol w:w="988"/>
        <w:gridCol w:w="868"/>
        <w:gridCol w:w="1134"/>
        <w:gridCol w:w="709"/>
        <w:gridCol w:w="898"/>
        <w:gridCol w:w="153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088" w:type="dxa"/>
            <w:gridSpan w:val="3"/>
            <w:vAlign w:val="center"/>
          </w:tcPr>
          <w:p>
            <w:pPr>
              <w:widowControl/>
              <w:jc w:val="left"/>
              <w:rPr>
                <w:rFonts w:hint="default" w:eastAsia="仿宋_GB2312"/>
                <w:color w:val="000000"/>
                <w:kern w:val="0"/>
                <w:szCs w:val="21"/>
              </w:rPr>
            </w:pPr>
            <w:r>
              <w:rPr>
                <w:rFonts w:eastAsia="仿宋_GB2312"/>
                <w:color w:val="000000"/>
                <w:kern w:val="0"/>
                <w:szCs w:val="21"/>
              </w:rPr>
              <w:t>市级预算部门名称</w:t>
            </w:r>
          </w:p>
        </w:tc>
        <w:tc>
          <w:tcPr>
            <w:tcW w:w="8268" w:type="dxa"/>
            <w:gridSpan w:val="8"/>
            <w:vAlign w:val="center"/>
          </w:tcPr>
          <w:p>
            <w:pPr>
              <w:widowControl/>
              <w:jc w:val="left"/>
              <w:rPr>
                <w:rFonts w:hint="default" w:eastAsia="仿宋_GB2312"/>
                <w:color w:val="000000"/>
                <w:kern w:val="0"/>
                <w:szCs w:val="21"/>
              </w:rPr>
            </w:pPr>
            <w:r>
              <w:rPr>
                <w:rFonts w:eastAsia="仿宋_GB2312"/>
                <w:color w:val="000000"/>
                <w:kern w:val="0"/>
                <w:szCs w:val="21"/>
              </w:rPr>
              <w:t>张家界开放大学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  <w:jc w:val="center"/>
        </w:trPr>
        <w:tc>
          <w:tcPr>
            <w:tcW w:w="686" w:type="dxa"/>
            <w:vMerge w:val="restart"/>
            <w:vAlign w:val="center"/>
          </w:tcPr>
          <w:p>
            <w:pPr>
              <w:widowControl/>
              <w:jc w:val="center"/>
              <w:rPr>
                <w:rFonts w:hint="default" w:eastAsia="仿宋_GB2312"/>
                <w:color w:val="000000"/>
                <w:kern w:val="0"/>
                <w:szCs w:val="21"/>
              </w:rPr>
            </w:pPr>
            <w:r>
              <w:rPr>
                <w:rFonts w:eastAsia="仿宋_GB2312"/>
                <w:color w:val="000000"/>
                <w:kern w:val="0"/>
                <w:szCs w:val="21"/>
              </w:rPr>
              <w:t>年度预算申请</w:t>
            </w:r>
          </w:p>
          <w:p>
            <w:pPr>
              <w:widowControl/>
              <w:jc w:val="center"/>
              <w:rPr>
                <w:rFonts w:hint="default" w:eastAsia="仿宋_GB2312"/>
                <w:color w:val="000000"/>
                <w:kern w:val="0"/>
                <w:szCs w:val="21"/>
              </w:rPr>
            </w:pPr>
            <w:r>
              <w:rPr>
                <w:rFonts w:eastAsia="仿宋_GB2312"/>
                <w:color w:val="000000"/>
                <w:kern w:val="0"/>
                <w:szCs w:val="21"/>
              </w:rPr>
              <w:t>（万元）</w:t>
            </w:r>
          </w:p>
        </w:tc>
        <w:tc>
          <w:tcPr>
            <w:tcW w:w="2581" w:type="dxa"/>
            <w:gridSpan w:val="3"/>
            <w:vAlign w:val="center"/>
          </w:tcPr>
          <w:p>
            <w:pPr>
              <w:jc w:val="center"/>
              <w:rPr>
                <w:rFonts w:hint="default" w:eastAsia="仿宋_GB2312"/>
                <w:szCs w:val="21"/>
              </w:rPr>
            </w:pPr>
          </w:p>
        </w:tc>
        <w:tc>
          <w:tcPr>
            <w:tcW w:w="961" w:type="dxa"/>
            <w:vAlign w:val="center"/>
          </w:tcPr>
          <w:p>
            <w:pPr>
              <w:jc w:val="center"/>
              <w:rPr>
                <w:rFonts w:hint="default" w:eastAsia="仿宋_GB2312"/>
                <w:szCs w:val="21"/>
              </w:rPr>
            </w:pPr>
            <w:r>
              <w:rPr>
                <w:rFonts w:eastAsia="仿宋_GB2312"/>
                <w:szCs w:val="21"/>
              </w:rPr>
              <w:t>年初</w:t>
            </w:r>
          </w:p>
          <w:p>
            <w:pPr>
              <w:jc w:val="center"/>
              <w:rPr>
                <w:rFonts w:hint="default" w:eastAsia="仿宋_GB2312"/>
                <w:szCs w:val="21"/>
              </w:rPr>
            </w:pPr>
            <w:r>
              <w:rPr>
                <w:rFonts w:eastAsia="仿宋_GB2312"/>
                <w:szCs w:val="21"/>
              </w:rPr>
              <w:t>预算数</w:t>
            </w:r>
          </w:p>
        </w:tc>
        <w:tc>
          <w:tcPr>
            <w:tcW w:w="1856" w:type="dxa"/>
            <w:gridSpan w:val="2"/>
            <w:vAlign w:val="center"/>
          </w:tcPr>
          <w:p>
            <w:pPr>
              <w:jc w:val="center"/>
              <w:rPr>
                <w:rFonts w:hint="default" w:eastAsia="仿宋_GB2312"/>
                <w:szCs w:val="21"/>
              </w:rPr>
            </w:pPr>
            <w:r>
              <w:rPr>
                <w:rFonts w:eastAsia="仿宋_GB2312"/>
                <w:szCs w:val="21"/>
              </w:rPr>
              <w:t>全年预算数</w:t>
            </w: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rFonts w:hint="default" w:eastAsia="仿宋_GB2312"/>
                <w:szCs w:val="21"/>
              </w:rPr>
            </w:pPr>
            <w:r>
              <w:rPr>
                <w:rFonts w:eastAsia="仿宋_GB2312"/>
                <w:szCs w:val="21"/>
              </w:rPr>
              <w:t>全年</w:t>
            </w:r>
          </w:p>
          <w:p>
            <w:pPr>
              <w:jc w:val="center"/>
              <w:rPr>
                <w:rFonts w:hint="default" w:eastAsia="仿宋_GB2312"/>
                <w:szCs w:val="21"/>
              </w:rPr>
            </w:pPr>
            <w:r>
              <w:rPr>
                <w:rFonts w:eastAsia="仿宋_GB2312"/>
                <w:szCs w:val="21"/>
              </w:rPr>
              <w:t>执行数</w:t>
            </w:r>
          </w:p>
        </w:tc>
        <w:tc>
          <w:tcPr>
            <w:tcW w:w="709" w:type="dxa"/>
            <w:vAlign w:val="center"/>
          </w:tcPr>
          <w:p>
            <w:pPr>
              <w:jc w:val="center"/>
              <w:rPr>
                <w:rFonts w:hint="default" w:eastAsia="仿宋_GB2312"/>
                <w:szCs w:val="21"/>
              </w:rPr>
            </w:pPr>
            <w:r>
              <w:rPr>
                <w:rFonts w:eastAsia="仿宋_GB2312"/>
                <w:szCs w:val="21"/>
              </w:rPr>
              <w:t>分值</w:t>
            </w:r>
          </w:p>
        </w:tc>
        <w:tc>
          <w:tcPr>
            <w:tcW w:w="898" w:type="dxa"/>
            <w:vAlign w:val="center"/>
          </w:tcPr>
          <w:p>
            <w:pPr>
              <w:jc w:val="center"/>
              <w:rPr>
                <w:rFonts w:hint="default" w:eastAsia="仿宋_GB2312"/>
                <w:szCs w:val="21"/>
              </w:rPr>
            </w:pPr>
            <w:r>
              <w:rPr>
                <w:rFonts w:eastAsia="仿宋_GB2312"/>
                <w:szCs w:val="21"/>
              </w:rPr>
              <w:t>执行率</w:t>
            </w:r>
          </w:p>
        </w:tc>
        <w:tc>
          <w:tcPr>
            <w:tcW w:w="1531" w:type="dxa"/>
            <w:vAlign w:val="center"/>
          </w:tcPr>
          <w:p>
            <w:pPr>
              <w:jc w:val="center"/>
              <w:rPr>
                <w:rFonts w:hint="default" w:eastAsia="仿宋_GB2312"/>
                <w:szCs w:val="21"/>
              </w:rPr>
            </w:pPr>
            <w:r>
              <w:rPr>
                <w:rFonts w:eastAsia="仿宋_GB2312"/>
                <w:szCs w:val="21"/>
              </w:rPr>
              <w:t>得分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86" w:type="dxa"/>
            <w:vMerge w:val="continue"/>
            <w:vAlign w:val="center"/>
          </w:tcPr>
          <w:p>
            <w:pPr>
              <w:widowControl/>
              <w:jc w:val="center"/>
              <w:rPr>
                <w:rFonts w:hint="default" w:eastAsia="仿宋_GB2312"/>
                <w:color w:val="000000"/>
                <w:kern w:val="0"/>
                <w:szCs w:val="21"/>
              </w:rPr>
            </w:pPr>
          </w:p>
        </w:tc>
        <w:tc>
          <w:tcPr>
            <w:tcW w:w="2581" w:type="dxa"/>
            <w:gridSpan w:val="3"/>
            <w:vAlign w:val="center"/>
          </w:tcPr>
          <w:p>
            <w:pPr>
              <w:jc w:val="center"/>
              <w:rPr>
                <w:rFonts w:hint="default" w:eastAsia="仿宋_GB2312"/>
                <w:szCs w:val="21"/>
              </w:rPr>
            </w:pPr>
            <w:r>
              <w:rPr>
                <w:rFonts w:eastAsia="仿宋_GB2312"/>
                <w:color w:val="000000"/>
                <w:kern w:val="0"/>
                <w:szCs w:val="21"/>
              </w:rPr>
              <w:t>年度资金总额</w:t>
            </w:r>
          </w:p>
        </w:tc>
        <w:tc>
          <w:tcPr>
            <w:tcW w:w="961" w:type="dxa"/>
            <w:vAlign w:val="center"/>
          </w:tcPr>
          <w:p>
            <w:pPr>
              <w:jc w:val="center"/>
              <w:rPr>
                <w:rFonts w:hint="default" w:eastAsia="仿宋_GB2312"/>
                <w:szCs w:val="21"/>
              </w:rPr>
            </w:pPr>
            <w:r>
              <w:rPr>
                <w:rFonts w:eastAsia="仿宋_GB2312"/>
                <w:szCs w:val="21"/>
              </w:rPr>
              <w:t>474.22</w:t>
            </w:r>
          </w:p>
        </w:tc>
        <w:tc>
          <w:tcPr>
            <w:tcW w:w="1856" w:type="dxa"/>
            <w:gridSpan w:val="2"/>
            <w:vAlign w:val="center"/>
          </w:tcPr>
          <w:p>
            <w:pPr>
              <w:jc w:val="center"/>
              <w:rPr>
                <w:rFonts w:hint="default" w:eastAsia="仿宋_GB2312"/>
                <w:szCs w:val="21"/>
              </w:rPr>
            </w:pPr>
            <w:r>
              <w:rPr>
                <w:rFonts w:eastAsia="仿宋_GB2312"/>
                <w:szCs w:val="21"/>
              </w:rPr>
              <w:t>1418.16</w:t>
            </w: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rFonts w:hint="default" w:eastAsia="仿宋_GB2312"/>
                <w:szCs w:val="21"/>
              </w:rPr>
            </w:pPr>
            <w:r>
              <w:rPr>
                <w:rFonts w:eastAsia="仿宋_GB2312"/>
                <w:szCs w:val="21"/>
              </w:rPr>
              <w:t>1418.16</w:t>
            </w:r>
          </w:p>
        </w:tc>
        <w:tc>
          <w:tcPr>
            <w:tcW w:w="709" w:type="dxa"/>
            <w:vAlign w:val="center"/>
          </w:tcPr>
          <w:p>
            <w:pPr>
              <w:jc w:val="center"/>
              <w:rPr>
                <w:rFonts w:hint="default" w:eastAsia="仿宋_GB2312"/>
                <w:szCs w:val="21"/>
              </w:rPr>
            </w:pPr>
            <w:r>
              <w:rPr>
                <w:rFonts w:eastAsia="仿宋_GB2312"/>
                <w:szCs w:val="21"/>
              </w:rPr>
              <w:t>10</w:t>
            </w:r>
          </w:p>
        </w:tc>
        <w:tc>
          <w:tcPr>
            <w:tcW w:w="898" w:type="dxa"/>
            <w:vAlign w:val="center"/>
          </w:tcPr>
          <w:p>
            <w:pPr>
              <w:jc w:val="center"/>
              <w:rPr>
                <w:rFonts w:hint="default" w:eastAsia="仿宋_GB2312"/>
                <w:szCs w:val="21"/>
              </w:rPr>
            </w:pPr>
            <w:r>
              <w:rPr>
                <w:rFonts w:eastAsia="仿宋_GB2312"/>
                <w:szCs w:val="21"/>
              </w:rPr>
              <w:t>100%</w:t>
            </w:r>
          </w:p>
        </w:tc>
        <w:tc>
          <w:tcPr>
            <w:tcW w:w="1531" w:type="dxa"/>
            <w:vAlign w:val="center"/>
          </w:tcPr>
          <w:p>
            <w:pPr>
              <w:jc w:val="center"/>
              <w:rPr>
                <w:rFonts w:hint="default" w:eastAsia="仿宋_GB2312"/>
                <w:szCs w:val="21"/>
              </w:rPr>
            </w:pPr>
            <w:r>
              <w:rPr>
                <w:rFonts w:eastAsia="仿宋_GB2312"/>
                <w:szCs w:val="21"/>
              </w:rPr>
              <w:t>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86" w:type="dxa"/>
            <w:vMerge w:val="continue"/>
            <w:vAlign w:val="center"/>
          </w:tcPr>
          <w:p>
            <w:pPr>
              <w:widowControl/>
              <w:jc w:val="left"/>
              <w:rPr>
                <w:rFonts w:hint="default" w:eastAsia="仿宋_GB2312"/>
                <w:color w:val="000000"/>
                <w:kern w:val="0"/>
                <w:szCs w:val="21"/>
              </w:rPr>
            </w:pPr>
          </w:p>
        </w:tc>
        <w:tc>
          <w:tcPr>
            <w:tcW w:w="5398" w:type="dxa"/>
            <w:gridSpan w:val="6"/>
            <w:vAlign w:val="center"/>
          </w:tcPr>
          <w:p>
            <w:pPr>
              <w:widowControl/>
              <w:jc w:val="left"/>
              <w:rPr>
                <w:rFonts w:hint="default" w:eastAsia="仿宋_GB2312"/>
                <w:color w:val="000000"/>
                <w:kern w:val="0"/>
                <w:szCs w:val="21"/>
              </w:rPr>
            </w:pPr>
            <w:r>
              <w:rPr>
                <w:rFonts w:eastAsia="仿宋_GB2312"/>
                <w:color w:val="000000"/>
                <w:kern w:val="0"/>
                <w:szCs w:val="21"/>
              </w:rPr>
              <w:t>按收入性质分：</w:t>
            </w:r>
          </w:p>
        </w:tc>
        <w:tc>
          <w:tcPr>
            <w:tcW w:w="4272" w:type="dxa"/>
            <w:gridSpan w:val="4"/>
            <w:vAlign w:val="center"/>
          </w:tcPr>
          <w:p>
            <w:pPr>
              <w:widowControl/>
              <w:jc w:val="left"/>
              <w:rPr>
                <w:rFonts w:hint="default" w:eastAsia="仿宋_GB2312"/>
                <w:color w:val="000000"/>
                <w:kern w:val="0"/>
                <w:szCs w:val="21"/>
              </w:rPr>
            </w:pPr>
            <w:r>
              <w:rPr>
                <w:rFonts w:eastAsia="仿宋_GB2312"/>
                <w:color w:val="000000"/>
                <w:kern w:val="0"/>
                <w:szCs w:val="21"/>
              </w:rPr>
              <w:t>按支出性质分：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86" w:type="dxa"/>
            <w:vMerge w:val="continue"/>
            <w:vAlign w:val="center"/>
          </w:tcPr>
          <w:p>
            <w:pPr>
              <w:widowControl/>
              <w:jc w:val="left"/>
              <w:rPr>
                <w:rFonts w:hint="default" w:eastAsia="仿宋_GB2312"/>
                <w:color w:val="000000"/>
                <w:kern w:val="0"/>
                <w:szCs w:val="21"/>
              </w:rPr>
            </w:pPr>
          </w:p>
        </w:tc>
        <w:tc>
          <w:tcPr>
            <w:tcW w:w="5398" w:type="dxa"/>
            <w:gridSpan w:val="6"/>
            <w:vAlign w:val="center"/>
          </w:tcPr>
          <w:p>
            <w:pPr>
              <w:widowControl/>
              <w:jc w:val="left"/>
              <w:rPr>
                <w:rFonts w:hint="default" w:eastAsia="仿宋_GB2312"/>
                <w:color w:val="000000"/>
                <w:kern w:val="0"/>
                <w:szCs w:val="21"/>
              </w:rPr>
            </w:pPr>
            <w:r>
              <w:rPr>
                <w:rFonts w:eastAsia="仿宋_GB2312"/>
                <w:color w:val="000000"/>
                <w:kern w:val="0"/>
                <w:szCs w:val="21"/>
              </w:rPr>
              <w:t xml:space="preserve">  其中：  一般公共预算：844.83</w:t>
            </w:r>
          </w:p>
        </w:tc>
        <w:tc>
          <w:tcPr>
            <w:tcW w:w="4272" w:type="dxa"/>
            <w:gridSpan w:val="4"/>
            <w:vAlign w:val="center"/>
          </w:tcPr>
          <w:p>
            <w:pPr>
              <w:widowControl/>
              <w:jc w:val="left"/>
              <w:rPr>
                <w:rFonts w:hint="default" w:eastAsia="仿宋_GB2312"/>
                <w:color w:val="000000"/>
                <w:kern w:val="0"/>
                <w:szCs w:val="21"/>
              </w:rPr>
            </w:pPr>
            <w:r>
              <w:rPr>
                <w:rFonts w:eastAsia="仿宋_GB2312"/>
                <w:color w:val="000000"/>
                <w:kern w:val="0"/>
                <w:szCs w:val="21"/>
              </w:rPr>
              <w:t>其中：基本支出：532.99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86" w:type="dxa"/>
            <w:vMerge w:val="continue"/>
            <w:vAlign w:val="center"/>
          </w:tcPr>
          <w:p>
            <w:pPr>
              <w:widowControl/>
              <w:jc w:val="left"/>
              <w:rPr>
                <w:rFonts w:hint="default" w:eastAsia="仿宋_GB2312"/>
                <w:color w:val="000000"/>
                <w:kern w:val="0"/>
                <w:szCs w:val="21"/>
              </w:rPr>
            </w:pPr>
          </w:p>
        </w:tc>
        <w:tc>
          <w:tcPr>
            <w:tcW w:w="5398" w:type="dxa"/>
            <w:gridSpan w:val="6"/>
            <w:vAlign w:val="center"/>
          </w:tcPr>
          <w:p>
            <w:pPr>
              <w:widowControl/>
              <w:ind w:firstLine="840" w:firstLineChars="400"/>
              <w:jc w:val="left"/>
              <w:rPr>
                <w:rFonts w:hint="default" w:eastAsia="仿宋_GB2312"/>
                <w:color w:val="000000"/>
                <w:kern w:val="0"/>
                <w:szCs w:val="21"/>
              </w:rPr>
            </w:pPr>
            <w:r>
              <w:rPr>
                <w:rFonts w:eastAsia="仿宋_GB2312"/>
                <w:color w:val="000000"/>
                <w:kern w:val="0"/>
                <w:szCs w:val="21"/>
              </w:rPr>
              <w:t>政府性基金拨款：0</w:t>
            </w:r>
          </w:p>
        </w:tc>
        <w:tc>
          <w:tcPr>
            <w:tcW w:w="4272" w:type="dxa"/>
            <w:gridSpan w:val="4"/>
            <w:vAlign w:val="center"/>
          </w:tcPr>
          <w:p>
            <w:pPr>
              <w:widowControl/>
              <w:ind w:firstLine="630" w:firstLineChars="300"/>
              <w:jc w:val="left"/>
              <w:rPr>
                <w:rFonts w:hint="default" w:eastAsia="仿宋_GB2312"/>
                <w:color w:val="000000"/>
                <w:kern w:val="0"/>
                <w:szCs w:val="21"/>
              </w:rPr>
            </w:pPr>
            <w:r>
              <w:rPr>
                <w:rFonts w:eastAsia="仿宋_GB2312"/>
                <w:color w:val="000000"/>
                <w:kern w:val="0"/>
                <w:szCs w:val="21"/>
              </w:rPr>
              <w:t>项目支出：885.17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86" w:type="dxa"/>
            <w:vMerge w:val="continue"/>
            <w:vAlign w:val="center"/>
          </w:tcPr>
          <w:p>
            <w:pPr>
              <w:widowControl/>
              <w:jc w:val="left"/>
              <w:rPr>
                <w:rFonts w:hint="default" w:eastAsia="仿宋_GB2312"/>
                <w:color w:val="000000"/>
                <w:kern w:val="0"/>
                <w:szCs w:val="21"/>
              </w:rPr>
            </w:pPr>
          </w:p>
        </w:tc>
        <w:tc>
          <w:tcPr>
            <w:tcW w:w="5398" w:type="dxa"/>
            <w:gridSpan w:val="6"/>
            <w:vAlign w:val="center"/>
          </w:tcPr>
          <w:p>
            <w:pPr>
              <w:widowControl/>
              <w:jc w:val="left"/>
              <w:rPr>
                <w:rFonts w:hint="default" w:eastAsia="仿宋_GB2312"/>
                <w:color w:val="000000"/>
                <w:kern w:val="0"/>
                <w:szCs w:val="21"/>
              </w:rPr>
            </w:pPr>
            <w:r>
              <w:rPr>
                <w:rFonts w:eastAsia="仿宋_GB2312"/>
                <w:color w:val="000000"/>
                <w:kern w:val="0"/>
                <w:szCs w:val="21"/>
              </w:rPr>
              <w:t>纳入专户管理的非税收入拨款：273.62</w:t>
            </w:r>
          </w:p>
        </w:tc>
        <w:tc>
          <w:tcPr>
            <w:tcW w:w="4272" w:type="dxa"/>
            <w:gridSpan w:val="4"/>
            <w:vAlign w:val="center"/>
          </w:tcPr>
          <w:p>
            <w:pPr>
              <w:widowControl/>
              <w:jc w:val="left"/>
              <w:rPr>
                <w:rFonts w:hint="default" w:eastAsia="仿宋_GB2312"/>
                <w:color w:val="000000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86" w:type="dxa"/>
            <w:vMerge w:val="continue"/>
            <w:vAlign w:val="center"/>
          </w:tcPr>
          <w:p>
            <w:pPr>
              <w:widowControl/>
              <w:jc w:val="left"/>
              <w:rPr>
                <w:rFonts w:hint="default" w:eastAsia="仿宋_GB2312"/>
                <w:color w:val="000000"/>
                <w:kern w:val="0"/>
                <w:szCs w:val="21"/>
              </w:rPr>
            </w:pPr>
          </w:p>
        </w:tc>
        <w:tc>
          <w:tcPr>
            <w:tcW w:w="5398" w:type="dxa"/>
            <w:gridSpan w:val="6"/>
            <w:vAlign w:val="center"/>
          </w:tcPr>
          <w:p>
            <w:pPr>
              <w:widowControl/>
              <w:ind w:firstLine="1470" w:firstLineChars="700"/>
              <w:jc w:val="left"/>
              <w:rPr>
                <w:rFonts w:hint="default" w:eastAsia="仿宋_GB2312"/>
                <w:color w:val="000000"/>
                <w:kern w:val="0"/>
                <w:szCs w:val="21"/>
              </w:rPr>
            </w:pPr>
            <w:r>
              <w:rPr>
                <w:rFonts w:eastAsia="仿宋_GB2312"/>
                <w:color w:val="000000"/>
                <w:kern w:val="0"/>
                <w:szCs w:val="21"/>
              </w:rPr>
              <w:t>其他资金：299.71</w:t>
            </w:r>
          </w:p>
        </w:tc>
        <w:tc>
          <w:tcPr>
            <w:tcW w:w="4272" w:type="dxa"/>
            <w:gridSpan w:val="4"/>
            <w:vAlign w:val="center"/>
          </w:tcPr>
          <w:p>
            <w:pPr>
              <w:widowControl/>
              <w:jc w:val="left"/>
              <w:rPr>
                <w:rFonts w:hint="default" w:eastAsia="仿宋_GB2312"/>
                <w:color w:val="000000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86" w:type="dxa"/>
            <w:vMerge w:val="restart"/>
            <w:vAlign w:val="center"/>
          </w:tcPr>
          <w:p>
            <w:pPr>
              <w:widowControl/>
              <w:jc w:val="center"/>
              <w:rPr>
                <w:rFonts w:hint="default" w:eastAsia="仿宋_GB2312"/>
                <w:color w:val="000000"/>
                <w:kern w:val="0"/>
                <w:szCs w:val="21"/>
              </w:rPr>
            </w:pPr>
            <w:r>
              <w:rPr>
                <w:rFonts w:eastAsia="仿宋_GB2312"/>
                <w:color w:val="000000"/>
                <w:kern w:val="0"/>
                <w:szCs w:val="21"/>
              </w:rPr>
              <w:t>年度总体目标</w:t>
            </w:r>
          </w:p>
        </w:tc>
        <w:tc>
          <w:tcPr>
            <w:tcW w:w="5398" w:type="dxa"/>
            <w:gridSpan w:val="6"/>
            <w:vAlign w:val="center"/>
          </w:tcPr>
          <w:p>
            <w:pPr>
              <w:widowControl/>
              <w:jc w:val="center"/>
              <w:rPr>
                <w:rFonts w:hint="default" w:eastAsia="仿宋_GB2312"/>
                <w:color w:val="000000"/>
                <w:kern w:val="0"/>
                <w:szCs w:val="21"/>
              </w:rPr>
            </w:pPr>
            <w:r>
              <w:rPr>
                <w:rFonts w:eastAsia="仿宋_GB2312"/>
                <w:color w:val="000000"/>
                <w:kern w:val="0"/>
                <w:szCs w:val="21"/>
              </w:rPr>
              <w:t>预期目标</w:t>
            </w:r>
          </w:p>
        </w:tc>
        <w:tc>
          <w:tcPr>
            <w:tcW w:w="4272" w:type="dxa"/>
            <w:gridSpan w:val="4"/>
            <w:vAlign w:val="center"/>
          </w:tcPr>
          <w:p>
            <w:pPr>
              <w:widowControl/>
              <w:jc w:val="center"/>
              <w:rPr>
                <w:rFonts w:hint="default" w:eastAsia="仿宋_GB2312"/>
                <w:color w:val="000000"/>
                <w:kern w:val="0"/>
                <w:szCs w:val="21"/>
              </w:rPr>
            </w:pPr>
            <w:r>
              <w:rPr>
                <w:rFonts w:eastAsia="仿宋_GB2312"/>
                <w:color w:val="000000"/>
                <w:kern w:val="0"/>
                <w:szCs w:val="21"/>
              </w:rPr>
              <w:t>实际完成情况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  <w:jc w:val="center"/>
        </w:trPr>
        <w:tc>
          <w:tcPr>
            <w:tcW w:w="686" w:type="dxa"/>
            <w:vMerge w:val="continue"/>
            <w:vAlign w:val="center"/>
          </w:tcPr>
          <w:p>
            <w:pPr>
              <w:widowControl/>
              <w:jc w:val="left"/>
              <w:rPr>
                <w:rFonts w:hint="default" w:eastAsia="仿宋_GB2312"/>
                <w:color w:val="000000"/>
                <w:kern w:val="0"/>
                <w:szCs w:val="21"/>
              </w:rPr>
            </w:pPr>
          </w:p>
        </w:tc>
        <w:tc>
          <w:tcPr>
            <w:tcW w:w="5398" w:type="dxa"/>
            <w:gridSpan w:val="6"/>
            <w:vAlign w:val="center"/>
          </w:tcPr>
          <w:p>
            <w:pPr>
              <w:widowControl/>
              <w:jc w:val="left"/>
              <w:rPr>
                <w:rFonts w:hint="default" w:eastAsia="仿宋_GB2312"/>
                <w:color w:val="000000"/>
                <w:kern w:val="0"/>
                <w:szCs w:val="21"/>
              </w:rPr>
            </w:pPr>
            <w:r>
              <w:rPr>
                <w:rFonts w:eastAsia="仿宋_GB2312"/>
                <w:color w:val="000000"/>
                <w:kern w:val="0"/>
                <w:szCs w:val="21"/>
              </w:rPr>
              <w:t>1、学历教育完成招生任务目标。</w:t>
            </w:r>
          </w:p>
          <w:p>
            <w:pPr>
              <w:widowControl/>
              <w:jc w:val="left"/>
              <w:rPr>
                <w:rFonts w:hint="default" w:eastAsia="仿宋_GB2312"/>
                <w:color w:val="000000"/>
                <w:kern w:val="0"/>
                <w:szCs w:val="21"/>
              </w:rPr>
            </w:pPr>
            <w:r>
              <w:rPr>
                <w:rFonts w:eastAsia="仿宋_GB2312"/>
                <w:color w:val="000000"/>
                <w:kern w:val="0"/>
                <w:szCs w:val="21"/>
              </w:rPr>
              <w:t>2、保证干部网络学院网上学习平台稳定并不断优化学习资源。</w:t>
            </w:r>
          </w:p>
          <w:p>
            <w:pPr>
              <w:widowControl/>
              <w:jc w:val="left"/>
              <w:rPr>
                <w:rFonts w:hint="default" w:eastAsia="仿宋_GB2312"/>
                <w:color w:val="000000"/>
                <w:kern w:val="0"/>
                <w:szCs w:val="21"/>
              </w:rPr>
            </w:pPr>
            <w:r>
              <w:rPr>
                <w:rFonts w:eastAsia="仿宋_GB2312"/>
                <w:color w:val="000000"/>
                <w:kern w:val="0"/>
                <w:szCs w:val="21"/>
              </w:rPr>
              <w:t>3、完成行政执法考试及其他各类考试的组考。</w:t>
            </w:r>
          </w:p>
          <w:p>
            <w:pPr>
              <w:widowControl/>
              <w:jc w:val="left"/>
              <w:rPr>
                <w:rFonts w:hint="default" w:eastAsia="仿宋_GB2312"/>
                <w:color w:val="000000"/>
                <w:kern w:val="0"/>
                <w:szCs w:val="21"/>
              </w:rPr>
            </w:pPr>
            <w:r>
              <w:rPr>
                <w:rFonts w:eastAsia="仿宋_GB2312"/>
                <w:color w:val="000000"/>
                <w:kern w:val="0"/>
                <w:szCs w:val="21"/>
              </w:rPr>
              <w:t>4、在开展“社区教育宣讲”、“社区家长培训”基础上开办好网上社区大学,完成市老年大学办学体制改革任务.</w:t>
            </w:r>
          </w:p>
        </w:tc>
        <w:tc>
          <w:tcPr>
            <w:tcW w:w="4272" w:type="dxa"/>
            <w:gridSpan w:val="4"/>
            <w:vAlign w:val="center"/>
          </w:tcPr>
          <w:p>
            <w:pPr>
              <w:widowControl/>
              <w:rPr>
                <w:rFonts w:hint="default" w:eastAsia="仿宋_GB2312"/>
                <w:color w:val="000000"/>
                <w:kern w:val="0"/>
                <w:szCs w:val="21"/>
              </w:rPr>
            </w:pPr>
            <w:r>
              <w:rPr>
                <w:rFonts w:eastAsia="仿宋_GB2312"/>
                <w:color w:val="000000"/>
                <w:kern w:val="0"/>
                <w:szCs w:val="21"/>
              </w:rPr>
              <w:t>1、全年完成学历招生825人，毕业690人。</w:t>
            </w:r>
          </w:p>
          <w:p>
            <w:pPr>
              <w:widowControl/>
              <w:rPr>
                <w:rFonts w:hint="default" w:eastAsia="仿宋_GB2312"/>
                <w:color w:val="000000"/>
                <w:kern w:val="0"/>
                <w:szCs w:val="21"/>
              </w:rPr>
            </w:pPr>
            <w:r>
              <w:rPr>
                <w:rFonts w:eastAsia="仿宋_GB2312"/>
                <w:color w:val="000000"/>
                <w:kern w:val="0"/>
                <w:szCs w:val="21"/>
              </w:rPr>
              <w:t>2、加强干部教育培训网络平台管理和各专题班日常督学，培训人数达9346人次。</w:t>
            </w:r>
          </w:p>
          <w:p>
            <w:pPr>
              <w:widowControl/>
              <w:rPr>
                <w:rFonts w:hint="default" w:eastAsia="仿宋_GB2312"/>
                <w:color w:val="000000"/>
                <w:kern w:val="0"/>
                <w:szCs w:val="21"/>
              </w:rPr>
            </w:pPr>
            <w:r>
              <w:rPr>
                <w:rFonts w:eastAsia="仿宋_GB2312"/>
                <w:color w:val="000000"/>
                <w:kern w:val="0"/>
                <w:szCs w:val="21"/>
              </w:rPr>
              <w:t>3、组织实施了事业单位工作人员网络培训项目，15249人参与培训学习。</w:t>
            </w:r>
          </w:p>
          <w:p>
            <w:pPr>
              <w:widowControl/>
              <w:rPr>
                <w:rFonts w:hint="default" w:eastAsia="仿宋_GB2312"/>
                <w:color w:val="000000"/>
                <w:kern w:val="0"/>
                <w:szCs w:val="21"/>
              </w:rPr>
            </w:pPr>
            <w:r>
              <w:rPr>
                <w:rFonts w:eastAsia="仿宋_GB2312"/>
                <w:color w:val="000000"/>
                <w:kern w:val="0"/>
                <w:szCs w:val="21"/>
              </w:rPr>
              <w:t>4、市老年大学秋季正式开学，开设书法、绘画、太极等14个专业，招收学员564人，圆满完成了市老年大学办学体制改革任务。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0" w:hRule="atLeast"/>
          <w:jc w:val="center"/>
        </w:trPr>
        <w:tc>
          <w:tcPr>
            <w:tcW w:w="686" w:type="dxa"/>
            <w:vMerge w:val="restart"/>
            <w:vAlign w:val="center"/>
          </w:tcPr>
          <w:p>
            <w:pPr>
              <w:widowControl/>
              <w:jc w:val="center"/>
              <w:rPr>
                <w:rFonts w:hint="default" w:eastAsia="仿宋_GB2312"/>
                <w:color w:val="000000"/>
                <w:kern w:val="0"/>
                <w:szCs w:val="21"/>
              </w:rPr>
            </w:pPr>
            <w:r>
              <w:rPr>
                <w:rFonts w:eastAsia="仿宋_GB2312"/>
                <w:color w:val="000000"/>
                <w:kern w:val="0"/>
                <w:szCs w:val="21"/>
              </w:rPr>
              <w:t>绩</w:t>
            </w:r>
          </w:p>
          <w:p>
            <w:pPr>
              <w:widowControl/>
              <w:jc w:val="center"/>
              <w:rPr>
                <w:rFonts w:hint="default" w:eastAsia="仿宋_GB2312"/>
                <w:color w:val="000000"/>
                <w:kern w:val="0"/>
                <w:szCs w:val="21"/>
              </w:rPr>
            </w:pPr>
            <w:r>
              <w:rPr>
                <w:rFonts w:eastAsia="仿宋_GB2312"/>
                <w:color w:val="000000"/>
                <w:kern w:val="0"/>
                <w:szCs w:val="21"/>
              </w:rPr>
              <w:t>效</w:t>
            </w:r>
          </w:p>
          <w:p>
            <w:pPr>
              <w:widowControl/>
              <w:jc w:val="center"/>
              <w:rPr>
                <w:rFonts w:hint="default" w:eastAsia="仿宋_GB2312"/>
                <w:color w:val="000000"/>
                <w:kern w:val="0"/>
                <w:szCs w:val="21"/>
              </w:rPr>
            </w:pPr>
            <w:r>
              <w:rPr>
                <w:rFonts w:eastAsia="仿宋_GB2312"/>
                <w:color w:val="000000"/>
                <w:kern w:val="0"/>
                <w:szCs w:val="21"/>
              </w:rPr>
              <w:t>指</w:t>
            </w:r>
          </w:p>
          <w:p>
            <w:pPr>
              <w:widowControl/>
              <w:jc w:val="center"/>
              <w:rPr>
                <w:rFonts w:hint="default" w:eastAsia="仿宋_GB2312"/>
                <w:color w:val="000000"/>
                <w:kern w:val="0"/>
                <w:szCs w:val="21"/>
              </w:rPr>
            </w:pPr>
            <w:r>
              <w:rPr>
                <w:rFonts w:eastAsia="仿宋_GB2312"/>
                <w:color w:val="000000"/>
                <w:kern w:val="0"/>
                <w:szCs w:val="21"/>
              </w:rPr>
              <w:t>标</w:t>
            </w:r>
          </w:p>
        </w:tc>
        <w:tc>
          <w:tcPr>
            <w:tcW w:w="1080" w:type="dxa"/>
            <w:vAlign w:val="center"/>
          </w:tcPr>
          <w:p>
            <w:pPr>
              <w:widowControl/>
              <w:spacing w:line="240" w:lineRule="exact"/>
              <w:jc w:val="center"/>
              <w:rPr>
                <w:rFonts w:hint="default" w:eastAsia="仿宋_GB2312"/>
                <w:color w:val="000000"/>
                <w:kern w:val="0"/>
                <w:szCs w:val="21"/>
              </w:rPr>
            </w:pPr>
            <w:r>
              <w:rPr>
                <w:rFonts w:eastAsia="仿宋_GB2312"/>
                <w:color w:val="000000"/>
                <w:kern w:val="0"/>
                <w:szCs w:val="21"/>
              </w:rPr>
              <w:t>一级指标</w:t>
            </w:r>
          </w:p>
        </w:tc>
        <w:tc>
          <w:tcPr>
            <w:tcW w:w="1501" w:type="dxa"/>
            <w:gridSpan w:val="2"/>
            <w:vAlign w:val="center"/>
          </w:tcPr>
          <w:p>
            <w:pPr>
              <w:widowControl/>
              <w:spacing w:line="240" w:lineRule="exact"/>
              <w:jc w:val="center"/>
              <w:rPr>
                <w:rFonts w:hint="default" w:eastAsia="仿宋_GB2312"/>
                <w:color w:val="000000"/>
                <w:kern w:val="0"/>
                <w:szCs w:val="21"/>
              </w:rPr>
            </w:pPr>
            <w:r>
              <w:rPr>
                <w:rFonts w:eastAsia="仿宋_GB2312"/>
                <w:color w:val="000000"/>
                <w:kern w:val="0"/>
                <w:szCs w:val="21"/>
              </w:rPr>
              <w:t>二级指标</w:t>
            </w:r>
          </w:p>
        </w:tc>
        <w:tc>
          <w:tcPr>
            <w:tcW w:w="1949" w:type="dxa"/>
            <w:gridSpan w:val="2"/>
            <w:vAlign w:val="center"/>
          </w:tcPr>
          <w:p>
            <w:pPr>
              <w:widowControl/>
              <w:spacing w:line="240" w:lineRule="exact"/>
              <w:jc w:val="center"/>
              <w:rPr>
                <w:rFonts w:hint="default" w:eastAsia="仿宋_GB2312"/>
                <w:color w:val="000000"/>
                <w:kern w:val="0"/>
                <w:szCs w:val="21"/>
              </w:rPr>
            </w:pPr>
            <w:r>
              <w:rPr>
                <w:rFonts w:eastAsia="仿宋_GB2312"/>
                <w:color w:val="000000"/>
                <w:kern w:val="0"/>
                <w:szCs w:val="21"/>
              </w:rPr>
              <w:t>三级指标</w:t>
            </w:r>
          </w:p>
        </w:tc>
        <w:tc>
          <w:tcPr>
            <w:tcW w:w="868" w:type="dxa"/>
            <w:vAlign w:val="center"/>
          </w:tcPr>
          <w:p>
            <w:pPr>
              <w:widowControl/>
              <w:spacing w:line="240" w:lineRule="exact"/>
              <w:jc w:val="center"/>
              <w:rPr>
                <w:rFonts w:hint="default" w:eastAsia="仿宋_GB2312"/>
                <w:color w:val="000000"/>
                <w:kern w:val="0"/>
                <w:szCs w:val="21"/>
              </w:rPr>
            </w:pPr>
            <w:r>
              <w:rPr>
                <w:rFonts w:eastAsia="仿宋_GB2312"/>
                <w:color w:val="000000"/>
                <w:kern w:val="0"/>
                <w:szCs w:val="21"/>
              </w:rPr>
              <w:t>年度</w:t>
            </w:r>
          </w:p>
          <w:p>
            <w:pPr>
              <w:widowControl/>
              <w:spacing w:line="240" w:lineRule="exact"/>
              <w:jc w:val="center"/>
              <w:rPr>
                <w:rFonts w:hint="default" w:eastAsia="仿宋_GB2312"/>
                <w:color w:val="000000"/>
                <w:kern w:val="0"/>
                <w:szCs w:val="21"/>
              </w:rPr>
            </w:pPr>
            <w:r>
              <w:rPr>
                <w:rFonts w:eastAsia="仿宋_GB2312"/>
                <w:color w:val="000000"/>
                <w:kern w:val="0"/>
                <w:szCs w:val="21"/>
              </w:rPr>
              <w:t>指标值</w:t>
            </w:r>
          </w:p>
        </w:tc>
        <w:tc>
          <w:tcPr>
            <w:tcW w:w="1134" w:type="dxa"/>
            <w:vAlign w:val="center"/>
          </w:tcPr>
          <w:p>
            <w:pPr>
              <w:widowControl/>
              <w:spacing w:line="240" w:lineRule="exact"/>
              <w:jc w:val="center"/>
              <w:rPr>
                <w:rFonts w:hint="default" w:eastAsia="仿宋_GB2312"/>
                <w:color w:val="000000"/>
                <w:kern w:val="0"/>
                <w:szCs w:val="21"/>
              </w:rPr>
            </w:pPr>
            <w:r>
              <w:rPr>
                <w:rFonts w:eastAsia="仿宋_GB2312"/>
                <w:color w:val="000000"/>
                <w:kern w:val="0"/>
                <w:szCs w:val="21"/>
              </w:rPr>
              <w:t>实际</w:t>
            </w:r>
          </w:p>
          <w:p>
            <w:pPr>
              <w:widowControl/>
              <w:spacing w:line="240" w:lineRule="exact"/>
              <w:jc w:val="center"/>
              <w:rPr>
                <w:rFonts w:hint="default" w:eastAsia="仿宋_GB2312"/>
                <w:color w:val="000000"/>
                <w:kern w:val="0"/>
                <w:szCs w:val="21"/>
              </w:rPr>
            </w:pPr>
            <w:r>
              <w:rPr>
                <w:rFonts w:eastAsia="仿宋_GB2312"/>
                <w:color w:val="000000"/>
                <w:kern w:val="0"/>
                <w:szCs w:val="21"/>
              </w:rPr>
              <w:t>完成值</w:t>
            </w:r>
          </w:p>
        </w:tc>
        <w:tc>
          <w:tcPr>
            <w:tcW w:w="709" w:type="dxa"/>
            <w:vAlign w:val="center"/>
          </w:tcPr>
          <w:p>
            <w:pPr>
              <w:widowControl/>
              <w:spacing w:line="240" w:lineRule="exact"/>
              <w:jc w:val="center"/>
              <w:rPr>
                <w:rFonts w:hint="default" w:eastAsia="仿宋_GB2312"/>
                <w:color w:val="000000"/>
                <w:kern w:val="0"/>
                <w:szCs w:val="21"/>
              </w:rPr>
            </w:pPr>
            <w:r>
              <w:rPr>
                <w:rFonts w:eastAsia="仿宋_GB2312"/>
                <w:color w:val="000000"/>
                <w:kern w:val="0"/>
                <w:szCs w:val="21"/>
              </w:rPr>
              <w:t>分值</w:t>
            </w:r>
          </w:p>
        </w:tc>
        <w:tc>
          <w:tcPr>
            <w:tcW w:w="898" w:type="dxa"/>
            <w:vAlign w:val="center"/>
          </w:tcPr>
          <w:p>
            <w:pPr>
              <w:widowControl/>
              <w:spacing w:line="240" w:lineRule="exact"/>
              <w:jc w:val="center"/>
              <w:rPr>
                <w:rFonts w:hint="default" w:eastAsia="仿宋_GB2312"/>
                <w:color w:val="000000"/>
                <w:kern w:val="0"/>
                <w:szCs w:val="21"/>
              </w:rPr>
            </w:pPr>
            <w:r>
              <w:rPr>
                <w:rFonts w:eastAsia="仿宋_GB2312"/>
                <w:color w:val="000000"/>
                <w:kern w:val="0"/>
                <w:szCs w:val="21"/>
              </w:rPr>
              <w:t>得分</w:t>
            </w:r>
          </w:p>
        </w:tc>
        <w:tc>
          <w:tcPr>
            <w:tcW w:w="1531" w:type="dxa"/>
          </w:tcPr>
          <w:p>
            <w:pPr>
              <w:widowControl/>
              <w:spacing w:line="240" w:lineRule="exact"/>
              <w:jc w:val="center"/>
              <w:rPr>
                <w:rFonts w:hint="default" w:eastAsia="仿宋_GB2312"/>
                <w:color w:val="000000"/>
                <w:kern w:val="0"/>
                <w:szCs w:val="21"/>
              </w:rPr>
            </w:pPr>
            <w:r>
              <w:rPr>
                <w:rFonts w:eastAsia="仿宋_GB2312"/>
                <w:color w:val="000000"/>
                <w:kern w:val="0"/>
                <w:szCs w:val="21"/>
              </w:rPr>
              <w:t>偏差原因分析及改进措施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4" w:hRule="atLeast"/>
          <w:jc w:val="center"/>
        </w:trPr>
        <w:tc>
          <w:tcPr>
            <w:tcW w:w="686" w:type="dxa"/>
            <w:vMerge w:val="continue"/>
            <w:vAlign w:val="center"/>
          </w:tcPr>
          <w:p>
            <w:pPr>
              <w:jc w:val="center"/>
              <w:rPr>
                <w:rFonts w:hint="default" w:eastAsia="仿宋_GB2312"/>
                <w:color w:val="000000"/>
                <w:kern w:val="0"/>
                <w:szCs w:val="21"/>
              </w:rPr>
            </w:pPr>
          </w:p>
        </w:tc>
        <w:tc>
          <w:tcPr>
            <w:tcW w:w="1080" w:type="dxa"/>
            <w:vMerge w:val="restart"/>
            <w:vAlign w:val="center"/>
          </w:tcPr>
          <w:p>
            <w:pPr>
              <w:widowControl/>
              <w:jc w:val="center"/>
              <w:rPr>
                <w:rFonts w:hint="default" w:eastAsia="仿宋_GB2312"/>
                <w:color w:val="000000"/>
                <w:kern w:val="0"/>
                <w:szCs w:val="21"/>
              </w:rPr>
            </w:pPr>
            <w:r>
              <w:rPr>
                <w:rFonts w:eastAsia="仿宋_GB2312"/>
                <w:color w:val="000000"/>
                <w:kern w:val="0"/>
                <w:szCs w:val="21"/>
              </w:rPr>
              <w:t>产出指标</w:t>
            </w:r>
          </w:p>
          <w:p>
            <w:pPr>
              <w:widowControl/>
              <w:jc w:val="center"/>
              <w:rPr>
                <w:rFonts w:hint="default" w:eastAsia="仿宋_GB2312"/>
                <w:color w:val="000000"/>
                <w:kern w:val="0"/>
                <w:szCs w:val="21"/>
              </w:rPr>
            </w:pPr>
            <w:r>
              <w:rPr>
                <w:rFonts w:eastAsia="仿宋_GB2312"/>
                <w:color w:val="000000"/>
                <w:kern w:val="0"/>
                <w:szCs w:val="21"/>
              </w:rPr>
              <w:t>(50分)</w:t>
            </w:r>
          </w:p>
        </w:tc>
        <w:tc>
          <w:tcPr>
            <w:tcW w:w="1501" w:type="dxa"/>
            <w:gridSpan w:val="2"/>
            <w:vMerge w:val="restart"/>
            <w:vAlign w:val="center"/>
          </w:tcPr>
          <w:p>
            <w:pPr>
              <w:widowControl/>
              <w:jc w:val="center"/>
              <w:rPr>
                <w:rFonts w:hint="default" w:eastAsia="仿宋_GB2312"/>
                <w:color w:val="000000"/>
                <w:kern w:val="0"/>
                <w:szCs w:val="21"/>
              </w:rPr>
            </w:pPr>
            <w:r>
              <w:rPr>
                <w:rFonts w:eastAsia="仿宋_GB2312"/>
                <w:color w:val="000000"/>
                <w:kern w:val="0"/>
                <w:szCs w:val="21"/>
              </w:rPr>
              <w:t>数量指标</w:t>
            </w:r>
          </w:p>
        </w:tc>
        <w:tc>
          <w:tcPr>
            <w:tcW w:w="1949" w:type="dxa"/>
            <w:gridSpan w:val="2"/>
            <w:vAlign w:val="center"/>
          </w:tcPr>
          <w:p>
            <w:pPr>
              <w:widowControl/>
              <w:jc w:val="left"/>
              <w:rPr>
                <w:rFonts w:hint="default" w:eastAsia="仿宋_GB2312"/>
                <w:color w:val="000000"/>
                <w:kern w:val="0"/>
                <w:szCs w:val="21"/>
              </w:rPr>
            </w:pPr>
            <w:r>
              <w:rPr>
                <w:rFonts w:eastAsia="仿宋_GB2312"/>
                <w:color w:val="000000"/>
                <w:kern w:val="0"/>
                <w:szCs w:val="21"/>
              </w:rPr>
              <w:t>学历招生人数</w:t>
            </w:r>
          </w:p>
        </w:tc>
        <w:tc>
          <w:tcPr>
            <w:tcW w:w="868" w:type="dxa"/>
            <w:vAlign w:val="center"/>
          </w:tcPr>
          <w:p>
            <w:pPr>
              <w:widowControl/>
              <w:jc w:val="center"/>
              <w:rPr>
                <w:rFonts w:hint="default" w:eastAsia="仿宋_GB2312"/>
                <w:color w:val="000000"/>
                <w:kern w:val="0"/>
                <w:szCs w:val="21"/>
              </w:rPr>
            </w:pPr>
            <w:r>
              <w:rPr>
                <w:rFonts w:eastAsia="仿宋_GB2312"/>
                <w:color w:val="000000"/>
                <w:kern w:val="0"/>
                <w:szCs w:val="21"/>
              </w:rPr>
              <w:t>160</w:t>
            </w:r>
          </w:p>
        </w:tc>
        <w:tc>
          <w:tcPr>
            <w:tcW w:w="1134" w:type="dxa"/>
            <w:vAlign w:val="center"/>
          </w:tcPr>
          <w:p>
            <w:pPr>
              <w:widowControl/>
              <w:jc w:val="left"/>
              <w:rPr>
                <w:rFonts w:hint="default" w:eastAsia="仿宋_GB2312"/>
                <w:color w:val="000000"/>
                <w:kern w:val="0"/>
                <w:szCs w:val="21"/>
              </w:rPr>
            </w:pPr>
            <w:r>
              <w:rPr>
                <w:rFonts w:eastAsia="仿宋_GB2312"/>
                <w:color w:val="000000"/>
                <w:kern w:val="0"/>
                <w:szCs w:val="21"/>
              </w:rPr>
              <w:t>　825</w:t>
            </w:r>
          </w:p>
        </w:tc>
        <w:tc>
          <w:tcPr>
            <w:tcW w:w="709" w:type="dxa"/>
            <w:vAlign w:val="center"/>
          </w:tcPr>
          <w:p>
            <w:pPr>
              <w:widowControl/>
              <w:jc w:val="left"/>
              <w:rPr>
                <w:rFonts w:hint="default" w:eastAsia="仿宋_GB2312"/>
                <w:color w:val="000000"/>
                <w:kern w:val="0"/>
                <w:szCs w:val="21"/>
              </w:rPr>
            </w:pPr>
            <w:r>
              <w:rPr>
                <w:rFonts w:eastAsia="仿宋_GB2312"/>
                <w:color w:val="000000"/>
                <w:kern w:val="0"/>
                <w:szCs w:val="21"/>
              </w:rPr>
              <w:t>　10</w:t>
            </w:r>
          </w:p>
        </w:tc>
        <w:tc>
          <w:tcPr>
            <w:tcW w:w="898" w:type="dxa"/>
            <w:vAlign w:val="center"/>
          </w:tcPr>
          <w:p>
            <w:pPr>
              <w:widowControl/>
              <w:jc w:val="center"/>
              <w:rPr>
                <w:rFonts w:hint="default" w:eastAsia="仿宋_GB2312"/>
                <w:color w:val="000000"/>
                <w:kern w:val="0"/>
                <w:szCs w:val="21"/>
              </w:rPr>
            </w:pPr>
            <w:r>
              <w:rPr>
                <w:rFonts w:eastAsia="仿宋_GB2312"/>
                <w:color w:val="000000"/>
                <w:kern w:val="0"/>
                <w:szCs w:val="21"/>
              </w:rPr>
              <w:t>10</w:t>
            </w:r>
          </w:p>
        </w:tc>
        <w:tc>
          <w:tcPr>
            <w:tcW w:w="1531" w:type="dxa"/>
            <w:vAlign w:val="center"/>
          </w:tcPr>
          <w:p>
            <w:pPr>
              <w:widowControl/>
              <w:jc w:val="left"/>
              <w:rPr>
                <w:rFonts w:hint="default" w:eastAsia="仿宋_GB2312"/>
                <w:color w:val="000000"/>
                <w:kern w:val="0"/>
                <w:szCs w:val="21"/>
              </w:rPr>
            </w:pPr>
            <w:r>
              <w:rPr>
                <w:rFonts w:eastAsia="仿宋_GB2312"/>
                <w:color w:val="000000"/>
                <w:kern w:val="0"/>
                <w:szCs w:val="21"/>
              </w:rPr>
              <w:t>加大招生宣传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86" w:type="dxa"/>
            <w:vMerge w:val="continue"/>
            <w:vAlign w:val="center"/>
          </w:tcPr>
          <w:p>
            <w:pPr>
              <w:jc w:val="center"/>
              <w:rPr>
                <w:rFonts w:hint="default" w:eastAsia="仿宋_GB2312"/>
                <w:color w:val="000000"/>
                <w:kern w:val="0"/>
                <w:szCs w:val="21"/>
              </w:rPr>
            </w:pPr>
          </w:p>
        </w:tc>
        <w:tc>
          <w:tcPr>
            <w:tcW w:w="1080" w:type="dxa"/>
            <w:vMerge w:val="continue"/>
            <w:vAlign w:val="center"/>
          </w:tcPr>
          <w:p>
            <w:pPr>
              <w:jc w:val="left"/>
              <w:rPr>
                <w:rFonts w:hint="default" w:eastAsia="仿宋_GB2312"/>
                <w:color w:val="000000"/>
                <w:kern w:val="0"/>
                <w:szCs w:val="21"/>
              </w:rPr>
            </w:pPr>
          </w:p>
        </w:tc>
        <w:tc>
          <w:tcPr>
            <w:tcW w:w="1501" w:type="dxa"/>
            <w:gridSpan w:val="2"/>
            <w:vMerge w:val="continue"/>
            <w:vAlign w:val="center"/>
          </w:tcPr>
          <w:p>
            <w:pPr>
              <w:widowControl/>
              <w:jc w:val="center"/>
              <w:rPr>
                <w:rFonts w:hint="default" w:eastAsia="仿宋_GB2312"/>
                <w:color w:val="000000"/>
                <w:kern w:val="0"/>
                <w:szCs w:val="21"/>
              </w:rPr>
            </w:pPr>
          </w:p>
        </w:tc>
        <w:tc>
          <w:tcPr>
            <w:tcW w:w="1949" w:type="dxa"/>
            <w:gridSpan w:val="2"/>
            <w:vAlign w:val="center"/>
          </w:tcPr>
          <w:p>
            <w:pPr>
              <w:widowControl/>
              <w:jc w:val="left"/>
              <w:rPr>
                <w:rFonts w:hint="default" w:eastAsia="仿宋_GB2312"/>
                <w:color w:val="000000"/>
                <w:kern w:val="0"/>
                <w:szCs w:val="21"/>
              </w:rPr>
            </w:pPr>
            <w:r>
              <w:rPr>
                <w:rFonts w:eastAsia="仿宋_GB2312"/>
                <w:color w:val="000000"/>
                <w:kern w:val="0"/>
                <w:szCs w:val="21"/>
              </w:rPr>
              <w:t>网上学习人数</w:t>
            </w:r>
          </w:p>
        </w:tc>
        <w:tc>
          <w:tcPr>
            <w:tcW w:w="868" w:type="dxa"/>
            <w:vAlign w:val="center"/>
          </w:tcPr>
          <w:p>
            <w:pPr>
              <w:widowControl/>
              <w:jc w:val="center"/>
              <w:rPr>
                <w:rFonts w:hint="default" w:eastAsia="仿宋_GB2312"/>
                <w:color w:val="000000"/>
                <w:kern w:val="0"/>
                <w:szCs w:val="21"/>
              </w:rPr>
            </w:pPr>
            <w:r>
              <w:rPr>
                <w:rFonts w:eastAsia="仿宋_GB2312"/>
                <w:color w:val="000000"/>
                <w:kern w:val="0"/>
                <w:szCs w:val="21"/>
              </w:rPr>
              <w:t>8000</w:t>
            </w:r>
          </w:p>
        </w:tc>
        <w:tc>
          <w:tcPr>
            <w:tcW w:w="1134" w:type="dxa"/>
            <w:vAlign w:val="center"/>
          </w:tcPr>
          <w:p>
            <w:pPr>
              <w:widowControl/>
              <w:jc w:val="center"/>
              <w:rPr>
                <w:rFonts w:hint="default" w:eastAsia="仿宋_GB2312"/>
                <w:color w:val="000000"/>
                <w:kern w:val="0"/>
                <w:szCs w:val="21"/>
              </w:rPr>
            </w:pPr>
            <w:r>
              <w:rPr>
                <w:rFonts w:eastAsia="仿宋_GB2312"/>
                <w:color w:val="000000"/>
                <w:kern w:val="0"/>
                <w:szCs w:val="21"/>
              </w:rPr>
              <w:t>9346</w:t>
            </w:r>
          </w:p>
        </w:tc>
        <w:tc>
          <w:tcPr>
            <w:tcW w:w="709" w:type="dxa"/>
            <w:vAlign w:val="center"/>
          </w:tcPr>
          <w:p>
            <w:pPr>
              <w:widowControl/>
              <w:jc w:val="center"/>
              <w:rPr>
                <w:rFonts w:hint="default" w:eastAsia="仿宋_GB2312"/>
                <w:color w:val="000000"/>
                <w:kern w:val="0"/>
                <w:szCs w:val="21"/>
              </w:rPr>
            </w:pPr>
            <w:r>
              <w:rPr>
                <w:rFonts w:eastAsia="仿宋_GB2312"/>
                <w:color w:val="000000"/>
                <w:kern w:val="0"/>
                <w:szCs w:val="21"/>
              </w:rPr>
              <w:t>10</w:t>
            </w:r>
          </w:p>
        </w:tc>
        <w:tc>
          <w:tcPr>
            <w:tcW w:w="898" w:type="dxa"/>
            <w:vAlign w:val="center"/>
          </w:tcPr>
          <w:p>
            <w:pPr>
              <w:widowControl/>
              <w:jc w:val="center"/>
              <w:rPr>
                <w:rFonts w:hint="default" w:eastAsia="仿宋_GB2312"/>
                <w:color w:val="000000"/>
                <w:kern w:val="0"/>
                <w:szCs w:val="21"/>
              </w:rPr>
            </w:pPr>
            <w:r>
              <w:rPr>
                <w:rFonts w:eastAsia="仿宋_GB2312"/>
                <w:color w:val="000000"/>
                <w:kern w:val="0"/>
                <w:szCs w:val="21"/>
              </w:rPr>
              <w:t>10</w:t>
            </w:r>
          </w:p>
        </w:tc>
        <w:tc>
          <w:tcPr>
            <w:tcW w:w="1531" w:type="dxa"/>
            <w:vAlign w:val="center"/>
          </w:tcPr>
          <w:p>
            <w:pPr>
              <w:widowControl/>
              <w:jc w:val="left"/>
              <w:rPr>
                <w:rFonts w:hint="default" w:eastAsia="仿宋_GB2312"/>
                <w:color w:val="000000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4" w:hRule="atLeast"/>
          <w:jc w:val="center"/>
        </w:trPr>
        <w:tc>
          <w:tcPr>
            <w:tcW w:w="686" w:type="dxa"/>
            <w:vMerge w:val="continue"/>
            <w:vAlign w:val="center"/>
          </w:tcPr>
          <w:p>
            <w:pPr>
              <w:jc w:val="center"/>
              <w:rPr>
                <w:rFonts w:hint="default" w:eastAsia="仿宋_GB2312"/>
                <w:color w:val="000000"/>
                <w:kern w:val="0"/>
                <w:szCs w:val="21"/>
              </w:rPr>
            </w:pPr>
          </w:p>
        </w:tc>
        <w:tc>
          <w:tcPr>
            <w:tcW w:w="1080" w:type="dxa"/>
            <w:vMerge w:val="continue"/>
            <w:vAlign w:val="center"/>
          </w:tcPr>
          <w:p>
            <w:pPr>
              <w:jc w:val="left"/>
              <w:rPr>
                <w:rFonts w:hint="default" w:eastAsia="仿宋_GB2312"/>
                <w:color w:val="000000"/>
                <w:kern w:val="0"/>
                <w:szCs w:val="21"/>
              </w:rPr>
            </w:pPr>
          </w:p>
        </w:tc>
        <w:tc>
          <w:tcPr>
            <w:tcW w:w="1501" w:type="dxa"/>
            <w:gridSpan w:val="2"/>
            <w:vAlign w:val="center"/>
          </w:tcPr>
          <w:p>
            <w:pPr>
              <w:widowControl/>
              <w:jc w:val="center"/>
              <w:rPr>
                <w:rFonts w:hint="default" w:eastAsia="仿宋_GB2312"/>
                <w:color w:val="000000"/>
                <w:kern w:val="0"/>
                <w:szCs w:val="21"/>
              </w:rPr>
            </w:pPr>
            <w:r>
              <w:rPr>
                <w:rFonts w:eastAsia="仿宋_GB2312"/>
                <w:color w:val="000000"/>
                <w:kern w:val="0"/>
                <w:szCs w:val="21"/>
              </w:rPr>
              <w:t>质量指标</w:t>
            </w:r>
          </w:p>
        </w:tc>
        <w:tc>
          <w:tcPr>
            <w:tcW w:w="1949" w:type="dxa"/>
            <w:gridSpan w:val="2"/>
            <w:vAlign w:val="center"/>
          </w:tcPr>
          <w:p>
            <w:pPr>
              <w:widowControl/>
              <w:jc w:val="left"/>
              <w:rPr>
                <w:rFonts w:hint="default" w:eastAsia="仿宋_GB2312"/>
                <w:color w:val="000000"/>
                <w:kern w:val="0"/>
                <w:szCs w:val="21"/>
              </w:rPr>
            </w:pPr>
            <w:r>
              <w:rPr>
                <w:rFonts w:eastAsia="仿宋_GB2312"/>
                <w:color w:val="000000"/>
                <w:kern w:val="0"/>
                <w:szCs w:val="21"/>
              </w:rPr>
              <w:t>网上培训通过率</w:t>
            </w:r>
          </w:p>
        </w:tc>
        <w:tc>
          <w:tcPr>
            <w:tcW w:w="868" w:type="dxa"/>
            <w:vAlign w:val="center"/>
          </w:tcPr>
          <w:p>
            <w:pPr>
              <w:widowControl/>
              <w:jc w:val="left"/>
              <w:rPr>
                <w:rFonts w:hint="default" w:eastAsia="仿宋_GB2312"/>
                <w:color w:val="000000"/>
                <w:kern w:val="0"/>
                <w:szCs w:val="21"/>
              </w:rPr>
            </w:pPr>
            <w:r>
              <w:rPr>
                <w:rFonts w:eastAsia="仿宋_GB2312"/>
                <w:color w:val="000000"/>
                <w:kern w:val="0"/>
                <w:sz w:val="18"/>
                <w:szCs w:val="18"/>
              </w:rPr>
              <w:t>　&gt;95%</w:t>
            </w:r>
          </w:p>
        </w:tc>
        <w:tc>
          <w:tcPr>
            <w:tcW w:w="1134" w:type="dxa"/>
            <w:vAlign w:val="center"/>
          </w:tcPr>
          <w:p>
            <w:pPr>
              <w:widowControl/>
              <w:jc w:val="left"/>
              <w:rPr>
                <w:rFonts w:hint="default" w:eastAsia="仿宋_GB2312"/>
                <w:color w:val="000000"/>
                <w:kern w:val="0"/>
                <w:szCs w:val="21"/>
              </w:rPr>
            </w:pPr>
            <w:r>
              <w:rPr>
                <w:rFonts w:eastAsia="仿宋_GB2312"/>
                <w:color w:val="000000"/>
                <w:kern w:val="0"/>
                <w:szCs w:val="21"/>
              </w:rPr>
              <w:t>　100%</w:t>
            </w:r>
          </w:p>
        </w:tc>
        <w:tc>
          <w:tcPr>
            <w:tcW w:w="709" w:type="dxa"/>
            <w:vAlign w:val="center"/>
          </w:tcPr>
          <w:p>
            <w:pPr>
              <w:widowControl/>
              <w:jc w:val="left"/>
              <w:rPr>
                <w:rFonts w:hint="default" w:eastAsia="仿宋_GB2312"/>
                <w:color w:val="000000"/>
                <w:kern w:val="0"/>
                <w:szCs w:val="21"/>
              </w:rPr>
            </w:pPr>
            <w:r>
              <w:rPr>
                <w:rFonts w:eastAsia="仿宋_GB2312"/>
                <w:color w:val="000000"/>
                <w:kern w:val="0"/>
                <w:szCs w:val="21"/>
              </w:rPr>
              <w:t>　10</w:t>
            </w:r>
          </w:p>
        </w:tc>
        <w:tc>
          <w:tcPr>
            <w:tcW w:w="898" w:type="dxa"/>
            <w:vAlign w:val="center"/>
          </w:tcPr>
          <w:p>
            <w:pPr>
              <w:widowControl/>
              <w:jc w:val="left"/>
              <w:rPr>
                <w:rFonts w:hint="default" w:eastAsia="仿宋_GB2312"/>
                <w:color w:val="000000"/>
                <w:kern w:val="0"/>
                <w:szCs w:val="21"/>
              </w:rPr>
            </w:pPr>
            <w:r>
              <w:rPr>
                <w:rFonts w:eastAsia="仿宋_GB2312"/>
                <w:color w:val="000000"/>
                <w:kern w:val="0"/>
                <w:szCs w:val="21"/>
              </w:rPr>
              <w:t>　10</w:t>
            </w:r>
          </w:p>
        </w:tc>
        <w:tc>
          <w:tcPr>
            <w:tcW w:w="1531" w:type="dxa"/>
            <w:vAlign w:val="center"/>
          </w:tcPr>
          <w:p>
            <w:pPr>
              <w:widowControl/>
              <w:jc w:val="left"/>
              <w:rPr>
                <w:rFonts w:hint="default" w:eastAsia="仿宋_GB2312"/>
                <w:color w:val="000000"/>
                <w:kern w:val="0"/>
                <w:szCs w:val="21"/>
              </w:rPr>
            </w:pPr>
            <w:r>
              <w:rPr>
                <w:rFonts w:eastAsia="仿宋_GB2312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86" w:type="dxa"/>
            <w:vMerge w:val="continue"/>
            <w:vAlign w:val="center"/>
          </w:tcPr>
          <w:p>
            <w:pPr>
              <w:jc w:val="center"/>
              <w:rPr>
                <w:rFonts w:hint="default" w:eastAsia="仿宋_GB2312"/>
                <w:color w:val="000000"/>
                <w:kern w:val="0"/>
                <w:szCs w:val="21"/>
              </w:rPr>
            </w:pPr>
          </w:p>
        </w:tc>
        <w:tc>
          <w:tcPr>
            <w:tcW w:w="1080" w:type="dxa"/>
            <w:vMerge w:val="continue"/>
            <w:vAlign w:val="center"/>
          </w:tcPr>
          <w:p>
            <w:pPr>
              <w:jc w:val="left"/>
              <w:rPr>
                <w:rFonts w:hint="default" w:eastAsia="仿宋_GB2312"/>
                <w:color w:val="000000"/>
                <w:kern w:val="0"/>
                <w:szCs w:val="21"/>
              </w:rPr>
            </w:pPr>
          </w:p>
        </w:tc>
        <w:tc>
          <w:tcPr>
            <w:tcW w:w="1501" w:type="dxa"/>
            <w:gridSpan w:val="2"/>
            <w:vAlign w:val="center"/>
          </w:tcPr>
          <w:p>
            <w:pPr>
              <w:widowControl/>
              <w:jc w:val="center"/>
              <w:rPr>
                <w:rFonts w:hint="default" w:eastAsia="仿宋_GB2312"/>
                <w:color w:val="000000"/>
                <w:kern w:val="0"/>
                <w:szCs w:val="21"/>
              </w:rPr>
            </w:pPr>
            <w:r>
              <w:rPr>
                <w:rFonts w:eastAsia="仿宋_GB2312"/>
                <w:color w:val="000000"/>
                <w:kern w:val="0"/>
                <w:szCs w:val="21"/>
              </w:rPr>
              <w:t>时效指标</w:t>
            </w:r>
          </w:p>
        </w:tc>
        <w:tc>
          <w:tcPr>
            <w:tcW w:w="1949" w:type="dxa"/>
            <w:gridSpan w:val="2"/>
            <w:vAlign w:val="center"/>
          </w:tcPr>
          <w:p>
            <w:pPr>
              <w:widowControl/>
              <w:jc w:val="left"/>
              <w:rPr>
                <w:rFonts w:hint="default" w:eastAsia="仿宋_GB2312"/>
                <w:color w:val="000000"/>
                <w:kern w:val="0"/>
                <w:szCs w:val="21"/>
              </w:rPr>
            </w:pPr>
            <w:r>
              <w:rPr>
                <w:rFonts w:eastAsia="仿宋_GB2312"/>
                <w:color w:val="000000"/>
                <w:kern w:val="0"/>
                <w:szCs w:val="21"/>
              </w:rPr>
              <w:t>完成目标时间</w:t>
            </w:r>
          </w:p>
        </w:tc>
        <w:tc>
          <w:tcPr>
            <w:tcW w:w="868" w:type="dxa"/>
            <w:vAlign w:val="center"/>
          </w:tcPr>
          <w:p>
            <w:pPr>
              <w:widowControl/>
              <w:jc w:val="left"/>
              <w:rPr>
                <w:rFonts w:hint="default" w:eastAsia="仿宋_GB2312"/>
                <w:color w:val="000000"/>
                <w:kern w:val="0"/>
                <w:szCs w:val="21"/>
              </w:rPr>
            </w:pPr>
            <w:r>
              <w:rPr>
                <w:rFonts w:eastAsia="仿宋_GB2312"/>
                <w:color w:val="000000"/>
                <w:kern w:val="0"/>
                <w:szCs w:val="21"/>
              </w:rPr>
              <w:t>1-12月</w:t>
            </w:r>
          </w:p>
        </w:tc>
        <w:tc>
          <w:tcPr>
            <w:tcW w:w="1134" w:type="dxa"/>
            <w:vAlign w:val="center"/>
          </w:tcPr>
          <w:p>
            <w:pPr>
              <w:widowControl/>
              <w:jc w:val="left"/>
              <w:rPr>
                <w:rFonts w:hint="default" w:eastAsia="仿宋_GB2312"/>
                <w:color w:val="000000"/>
                <w:kern w:val="0"/>
                <w:szCs w:val="21"/>
              </w:rPr>
            </w:pPr>
            <w:r>
              <w:rPr>
                <w:rFonts w:eastAsia="仿宋_GB2312"/>
                <w:color w:val="000000"/>
                <w:kern w:val="0"/>
                <w:szCs w:val="21"/>
              </w:rPr>
              <w:t>1-12月</w:t>
            </w:r>
          </w:p>
        </w:tc>
        <w:tc>
          <w:tcPr>
            <w:tcW w:w="709" w:type="dxa"/>
            <w:vAlign w:val="center"/>
          </w:tcPr>
          <w:p>
            <w:pPr>
              <w:widowControl/>
              <w:jc w:val="left"/>
              <w:rPr>
                <w:rFonts w:hint="default" w:eastAsia="仿宋_GB2312"/>
                <w:color w:val="000000"/>
                <w:kern w:val="0"/>
                <w:szCs w:val="21"/>
              </w:rPr>
            </w:pPr>
            <w:r>
              <w:rPr>
                <w:rFonts w:eastAsia="仿宋_GB2312"/>
                <w:color w:val="000000"/>
                <w:kern w:val="0"/>
                <w:szCs w:val="21"/>
              </w:rPr>
              <w:t>　10</w:t>
            </w:r>
          </w:p>
        </w:tc>
        <w:tc>
          <w:tcPr>
            <w:tcW w:w="898" w:type="dxa"/>
            <w:vAlign w:val="center"/>
          </w:tcPr>
          <w:p>
            <w:pPr>
              <w:widowControl/>
              <w:jc w:val="left"/>
              <w:rPr>
                <w:rFonts w:hint="default" w:eastAsia="仿宋_GB2312"/>
                <w:color w:val="000000"/>
                <w:kern w:val="0"/>
                <w:szCs w:val="21"/>
              </w:rPr>
            </w:pPr>
            <w:r>
              <w:rPr>
                <w:rFonts w:eastAsia="仿宋_GB2312"/>
                <w:color w:val="000000"/>
                <w:kern w:val="0"/>
                <w:szCs w:val="21"/>
              </w:rPr>
              <w:t>　10</w:t>
            </w:r>
          </w:p>
        </w:tc>
        <w:tc>
          <w:tcPr>
            <w:tcW w:w="1531" w:type="dxa"/>
            <w:vAlign w:val="center"/>
          </w:tcPr>
          <w:p>
            <w:pPr>
              <w:widowControl/>
              <w:jc w:val="left"/>
              <w:rPr>
                <w:rFonts w:hint="default" w:eastAsia="仿宋_GB2312"/>
                <w:color w:val="000000"/>
                <w:kern w:val="0"/>
                <w:szCs w:val="21"/>
              </w:rPr>
            </w:pPr>
            <w:r>
              <w:rPr>
                <w:rFonts w:eastAsia="仿宋_GB2312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1" w:hRule="atLeast"/>
          <w:jc w:val="center"/>
        </w:trPr>
        <w:tc>
          <w:tcPr>
            <w:tcW w:w="686" w:type="dxa"/>
            <w:vMerge w:val="continue"/>
            <w:vAlign w:val="center"/>
          </w:tcPr>
          <w:p>
            <w:pPr>
              <w:jc w:val="center"/>
              <w:rPr>
                <w:rFonts w:hint="default" w:eastAsia="仿宋_GB2312"/>
                <w:color w:val="000000"/>
                <w:kern w:val="0"/>
                <w:szCs w:val="21"/>
              </w:rPr>
            </w:pPr>
          </w:p>
        </w:tc>
        <w:tc>
          <w:tcPr>
            <w:tcW w:w="1080" w:type="dxa"/>
            <w:vMerge w:val="continue"/>
            <w:vAlign w:val="center"/>
          </w:tcPr>
          <w:p>
            <w:pPr>
              <w:jc w:val="left"/>
              <w:rPr>
                <w:rFonts w:hint="default" w:eastAsia="仿宋_GB2312"/>
                <w:color w:val="000000"/>
                <w:kern w:val="0"/>
                <w:szCs w:val="21"/>
              </w:rPr>
            </w:pPr>
          </w:p>
        </w:tc>
        <w:tc>
          <w:tcPr>
            <w:tcW w:w="1501" w:type="dxa"/>
            <w:gridSpan w:val="2"/>
            <w:vAlign w:val="center"/>
          </w:tcPr>
          <w:p>
            <w:pPr>
              <w:widowControl/>
              <w:jc w:val="center"/>
              <w:rPr>
                <w:rFonts w:hint="default" w:eastAsia="仿宋_GB2312"/>
                <w:color w:val="000000"/>
                <w:kern w:val="0"/>
                <w:szCs w:val="21"/>
              </w:rPr>
            </w:pPr>
            <w:r>
              <w:rPr>
                <w:rFonts w:eastAsia="仿宋_GB2312"/>
                <w:color w:val="000000"/>
                <w:kern w:val="0"/>
                <w:szCs w:val="21"/>
              </w:rPr>
              <w:t>成本指标</w:t>
            </w:r>
          </w:p>
        </w:tc>
        <w:tc>
          <w:tcPr>
            <w:tcW w:w="1949" w:type="dxa"/>
            <w:gridSpan w:val="2"/>
            <w:vAlign w:val="center"/>
          </w:tcPr>
          <w:p>
            <w:pPr>
              <w:widowControl/>
              <w:jc w:val="left"/>
              <w:rPr>
                <w:rFonts w:hint="default" w:eastAsia="仿宋_GB2312"/>
                <w:color w:val="000000"/>
                <w:kern w:val="0"/>
                <w:szCs w:val="21"/>
              </w:rPr>
            </w:pPr>
            <w:r>
              <w:rPr>
                <w:rFonts w:eastAsia="仿宋_GB2312"/>
                <w:color w:val="000000"/>
                <w:kern w:val="0"/>
                <w:szCs w:val="21"/>
              </w:rPr>
              <w:t>预算成本控制情况</w:t>
            </w:r>
          </w:p>
        </w:tc>
        <w:tc>
          <w:tcPr>
            <w:tcW w:w="868" w:type="dxa"/>
            <w:vAlign w:val="center"/>
          </w:tcPr>
          <w:p>
            <w:pPr>
              <w:widowControl/>
              <w:jc w:val="left"/>
              <w:rPr>
                <w:rFonts w:hint="default" w:eastAsia="仿宋_GB2312"/>
                <w:color w:val="000000"/>
                <w:kern w:val="0"/>
                <w:szCs w:val="21"/>
              </w:rPr>
            </w:pPr>
            <w:r>
              <w:rPr>
                <w:rFonts w:eastAsia="仿宋_GB2312"/>
                <w:color w:val="000000"/>
                <w:kern w:val="0"/>
                <w:szCs w:val="21"/>
              </w:rPr>
              <w:t>全年预算数±10%</w:t>
            </w:r>
          </w:p>
        </w:tc>
        <w:tc>
          <w:tcPr>
            <w:tcW w:w="1134" w:type="dxa"/>
            <w:vAlign w:val="center"/>
          </w:tcPr>
          <w:p>
            <w:pPr>
              <w:widowControl/>
              <w:jc w:val="left"/>
              <w:rPr>
                <w:rFonts w:hint="default" w:eastAsia="仿宋_GB2312"/>
                <w:color w:val="000000"/>
                <w:kern w:val="0"/>
                <w:szCs w:val="21"/>
              </w:rPr>
            </w:pPr>
            <w:r>
              <w:rPr>
                <w:rFonts w:eastAsia="仿宋_GB2312"/>
                <w:color w:val="000000"/>
                <w:kern w:val="0"/>
                <w:szCs w:val="21"/>
              </w:rPr>
              <w:t>100%</w:t>
            </w:r>
          </w:p>
        </w:tc>
        <w:tc>
          <w:tcPr>
            <w:tcW w:w="709" w:type="dxa"/>
            <w:vAlign w:val="center"/>
          </w:tcPr>
          <w:p>
            <w:pPr>
              <w:widowControl/>
              <w:jc w:val="left"/>
              <w:rPr>
                <w:rFonts w:hint="default" w:eastAsia="仿宋_GB2312"/>
                <w:color w:val="000000"/>
                <w:kern w:val="0"/>
                <w:szCs w:val="21"/>
              </w:rPr>
            </w:pPr>
            <w:r>
              <w:rPr>
                <w:rFonts w:eastAsia="仿宋_GB2312"/>
                <w:color w:val="000000"/>
                <w:kern w:val="0"/>
                <w:szCs w:val="21"/>
              </w:rPr>
              <w:t>　10</w:t>
            </w:r>
          </w:p>
        </w:tc>
        <w:tc>
          <w:tcPr>
            <w:tcW w:w="898" w:type="dxa"/>
            <w:vAlign w:val="center"/>
          </w:tcPr>
          <w:p>
            <w:pPr>
              <w:widowControl/>
              <w:jc w:val="center"/>
              <w:rPr>
                <w:rFonts w:hint="default" w:eastAsia="仿宋_GB2312"/>
                <w:color w:val="000000"/>
                <w:kern w:val="0"/>
                <w:szCs w:val="21"/>
              </w:rPr>
            </w:pPr>
            <w:r>
              <w:rPr>
                <w:rFonts w:eastAsia="仿宋_GB2312"/>
                <w:color w:val="000000"/>
                <w:kern w:val="0"/>
                <w:szCs w:val="21"/>
              </w:rPr>
              <w:t>10</w:t>
            </w:r>
          </w:p>
        </w:tc>
        <w:tc>
          <w:tcPr>
            <w:tcW w:w="1531" w:type="dxa"/>
            <w:vAlign w:val="center"/>
          </w:tcPr>
          <w:p>
            <w:pPr>
              <w:widowControl/>
              <w:jc w:val="left"/>
              <w:rPr>
                <w:rFonts w:hint="default" w:eastAsia="仿宋_GB2312"/>
                <w:color w:val="000000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86" w:type="dxa"/>
            <w:vMerge w:val="continue"/>
            <w:vAlign w:val="center"/>
          </w:tcPr>
          <w:p>
            <w:pPr>
              <w:jc w:val="center"/>
              <w:rPr>
                <w:rFonts w:hint="default" w:eastAsia="仿宋_GB2312"/>
                <w:color w:val="000000"/>
                <w:kern w:val="0"/>
                <w:szCs w:val="21"/>
              </w:rPr>
            </w:pPr>
          </w:p>
        </w:tc>
        <w:tc>
          <w:tcPr>
            <w:tcW w:w="1080" w:type="dxa"/>
            <w:vMerge w:val="restart"/>
            <w:vAlign w:val="center"/>
          </w:tcPr>
          <w:p>
            <w:pPr>
              <w:widowControl/>
              <w:jc w:val="center"/>
              <w:rPr>
                <w:rFonts w:hint="default" w:eastAsia="仿宋_GB2312"/>
                <w:color w:val="000000"/>
                <w:kern w:val="0"/>
                <w:szCs w:val="21"/>
              </w:rPr>
            </w:pPr>
            <w:r>
              <w:rPr>
                <w:rFonts w:eastAsia="仿宋_GB2312"/>
                <w:color w:val="000000"/>
                <w:kern w:val="0"/>
                <w:szCs w:val="21"/>
              </w:rPr>
              <w:t>效益指标（30分）　</w:t>
            </w:r>
          </w:p>
        </w:tc>
        <w:tc>
          <w:tcPr>
            <w:tcW w:w="1501" w:type="dxa"/>
            <w:gridSpan w:val="2"/>
            <w:vAlign w:val="center"/>
          </w:tcPr>
          <w:p>
            <w:pPr>
              <w:widowControl/>
              <w:jc w:val="center"/>
              <w:rPr>
                <w:rFonts w:hint="default" w:eastAsia="仿宋_GB2312"/>
                <w:color w:val="000000"/>
                <w:kern w:val="0"/>
                <w:szCs w:val="21"/>
              </w:rPr>
            </w:pPr>
            <w:r>
              <w:rPr>
                <w:rFonts w:eastAsia="仿宋_GB2312"/>
                <w:color w:val="000000"/>
                <w:kern w:val="0"/>
                <w:szCs w:val="21"/>
              </w:rPr>
              <w:t>经济效益指标</w:t>
            </w:r>
          </w:p>
        </w:tc>
        <w:tc>
          <w:tcPr>
            <w:tcW w:w="1949" w:type="dxa"/>
            <w:gridSpan w:val="2"/>
            <w:vAlign w:val="center"/>
          </w:tcPr>
          <w:p>
            <w:pPr>
              <w:widowControl/>
              <w:jc w:val="left"/>
              <w:rPr>
                <w:rFonts w:hint="default" w:eastAsia="仿宋_GB2312"/>
                <w:color w:val="000000"/>
                <w:kern w:val="0"/>
                <w:szCs w:val="21"/>
              </w:rPr>
            </w:pPr>
            <w:r>
              <w:rPr>
                <w:rFonts w:eastAsia="仿宋_GB2312"/>
                <w:color w:val="000000"/>
                <w:kern w:val="0"/>
                <w:szCs w:val="21"/>
              </w:rPr>
              <w:t>无</w:t>
            </w:r>
          </w:p>
        </w:tc>
        <w:tc>
          <w:tcPr>
            <w:tcW w:w="868" w:type="dxa"/>
            <w:vAlign w:val="center"/>
          </w:tcPr>
          <w:p>
            <w:pPr>
              <w:widowControl/>
              <w:jc w:val="left"/>
              <w:rPr>
                <w:rFonts w:hint="default" w:eastAsia="仿宋_GB2312"/>
                <w:color w:val="000000"/>
                <w:kern w:val="0"/>
                <w:szCs w:val="21"/>
              </w:rPr>
            </w:pPr>
            <w:r>
              <w:rPr>
                <w:rFonts w:eastAsia="仿宋_GB2312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1134" w:type="dxa"/>
            <w:vAlign w:val="center"/>
          </w:tcPr>
          <w:p>
            <w:pPr>
              <w:widowControl/>
              <w:jc w:val="left"/>
              <w:rPr>
                <w:rFonts w:hint="default" w:eastAsia="仿宋_GB2312"/>
                <w:color w:val="000000"/>
                <w:kern w:val="0"/>
                <w:szCs w:val="21"/>
              </w:rPr>
            </w:pPr>
            <w:r>
              <w:rPr>
                <w:rFonts w:eastAsia="仿宋_GB2312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709" w:type="dxa"/>
            <w:vAlign w:val="center"/>
          </w:tcPr>
          <w:p>
            <w:pPr>
              <w:widowControl/>
              <w:jc w:val="left"/>
              <w:rPr>
                <w:rFonts w:hint="default" w:eastAsia="仿宋_GB2312"/>
                <w:color w:val="000000"/>
                <w:kern w:val="0"/>
                <w:szCs w:val="21"/>
              </w:rPr>
            </w:pPr>
            <w:r>
              <w:rPr>
                <w:rFonts w:eastAsia="仿宋_GB2312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898" w:type="dxa"/>
            <w:vAlign w:val="center"/>
          </w:tcPr>
          <w:p>
            <w:pPr>
              <w:widowControl/>
              <w:jc w:val="left"/>
              <w:rPr>
                <w:rFonts w:hint="default" w:eastAsia="仿宋_GB2312"/>
                <w:color w:val="000000"/>
                <w:kern w:val="0"/>
                <w:szCs w:val="21"/>
              </w:rPr>
            </w:pPr>
            <w:r>
              <w:rPr>
                <w:rFonts w:eastAsia="仿宋_GB2312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1531" w:type="dxa"/>
            <w:vAlign w:val="center"/>
          </w:tcPr>
          <w:p>
            <w:pPr>
              <w:widowControl/>
              <w:jc w:val="left"/>
              <w:rPr>
                <w:rFonts w:hint="default" w:eastAsia="仿宋_GB2312"/>
                <w:color w:val="000000"/>
                <w:kern w:val="0"/>
                <w:szCs w:val="21"/>
              </w:rPr>
            </w:pPr>
            <w:r>
              <w:rPr>
                <w:rFonts w:eastAsia="仿宋_GB2312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86" w:type="dxa"/>
            <w:vMerge w:val="continue"/>
            <w:vAlign w:val="center"/>
          </w:tcPr>
          <w:p>
            <w:pPr>
              <w:jc w:val="center"/>
              <w:rPr>
                <w:rFonts w:hint="default" w:eastAsia="仿宋_GB2312"/>
                <w:color w:val="000000"/>
                <w:kern w:val="0"/>
                <w:szCs w:val="21"/>
              </w:rPr>
            </w:pPr>
          </w:p>
        </w:tc>
        <w:tc>
          <w:tcPr>
            <w:tcW w:w="1080" w:type="dxa"/>
            <w:vMerge w:val="continue"/>
            <w:vAlign w:val="center"/>
          </w:tcPr>
          <w:p>
            <w:pPr>
              <w:jc w:val="left"/>
              <w:rPr>
                <w:rFonts w:hint="default" w:eastAsia="仿宋_GB2312"/>
                <w:color w:val="000000"/>
                <w:kern w:val="0"/>
                <w:szCs w:val="21"/>
              </w:rPr>
            </w:pPr>
          </w:p>
        </w:tc>
        <w:tc>
          <w:tcPr>
            <w:tcW w:w="1501" w:type="dxa"/>
            <w:gridSpan w:val="2"/>
            <w:vAlign w:val="center"/>
          </w:tcPr>
          <w:p>
            <w:pPr>
              <w:widowControl/>
              <w:jc w:val="center"/>
              <w:rPr>
                <w:rFonts w:hint="default" w:eastAsia="仿宋_GB2312"/>
                <w:color w:val="000000"/>
                <w:kern w:val="0"/>
                <w:szCs w:val="21"/>
              </w:rPr>
            </w:pPr>
            <w:r>
              <w:rPr>
                <w:rFonts w:eastAsia="仿宋_GB2312"/>
                <w:color w:val="000000"/>
                <w:kern w:val="0"/>
                <w:szCs w:val="21"/>
              </w:rPr>
              <w:t>社会效益指标</w:t>
            </w:r>
          </w:p>
        </w:tc>
        <w:tc>
          <w:tcPr>
            <w:tcW w:w="1949" w:type="dxa"/>
            <w:gridSpan w:val="2"/>
            <w:vAlign w:val="center"/>
          </w:tcPr>
          <w:p>
            <w:pPr>
              <w:widowControl/>
              <w:jc w:val="left"/>
              <w:rPr>
                <w:rFonts w:hint="default" w:eastAsia="仿宋_GB2312"/>
                <w:color w:val="000000"/>
                <w:kern w:val="0"/>
                <w:szCs w:val="21"/>
              </w:rPr>
            </w:pPr>
            <w:r>
              <w:rPr>
                <w:rFonts w:eastAsia="仿宋_GB2312"/>
                <w:color w:val="000000"/>
                <w:kern w:val="0"/>
                <w:szCs w:val="21"/>
              </w:rPr>
              <w:t>学员业务能力提升情况</w:t>
            </w:r>
          </w:p>
        </w:tc>
        <w:tc>
          <w:tcPr>
            <w:tcW w:w="868" w:type="dxa"/>
            <w:vAlign w:val="center"/>
          </w:tcPr>
          <w:p>
            <w:pPr>
              <w:widowControl/>
              <w:jc w:val="left"/>
              <w:rPr>
                <w:rFonts w:hint="default" w:eastAsia="仿宋_GB2312"/>
                <w:color w:val="000000"/>
                <w:kern w:val="0"/>
                <w:szCs w:val="21"/>
              </w:rPr>
            </w:pPr>
            <w:r>
              <w:rPr>
                <w:rFonts w:eastAsia="仿宋_GB2312"/>
                <w:color w:val="000000"/>
                <w:kern w:val="0"/>
                <w:szCs w:val="21"/>
              </w:rPr>
              <w:t>有效提升</w:t>
            </w:r>
          </w:p>
        </w:tc>
        <w:tc>
          <w:tcPr>
            <w:tcW w:w="1134" w:type="dxa"/>
            <w:vAlign w:val="center"/>
          </w:tcPr>
          <w:p>
            <w:pPr>
              <w:widowControl/>
              <w:jc w:val="left"/>
              <w:rPr>
                <w:rFonts w:hint="default" w:eastAsia="仿宋_GB2312"/>
                <w:color w:val="000000"/>
                <w:kern w:val="0"/>
                <w:szCs w:val="21"/>
              </w:rPr>
            </w:pPr>
            <w:r>
              <w:rPr>
                <w:rFonts w:eastAsia="仿宋_GB2312"/>
                <w:color w:val="000000"/>
                <w:kern w:val="0"/>
                <w:szCs w:val="21"/>
              </w:rPr>
              <w:t>提升情况较好</w:t>
            </w:r>
          </w:p>
        </w:tc>
        <w:tc>
          <w:tcPr>
            <w:tcW w:w="709" w:type="dxa"/>
            <w:vAlign w:val="center"/>
          </w:tcPr>
          <w:p>
            <w:pPr>
              <w:widowControl/>
              <w:jc w:val="left"/>
              <w:rPr>
                <w:rFonts w:hint="default" w:eastAsia="仿宋_GB2312"/>
                <w:color w:val="000000"/>
                <w:kern w:val="0"/>
                <w:szCs w:val="21"/>
              </w:rPr>
            </w:pPr>
            <w:r>
              <w:rPr>
                <w:rFonts w:eastAsia="仿宋_GB2312"/>
                <w:color w:val="000000"/>
                <w:kern w:val="0"/>
                <w:szCs w:val="21"/>
              </w:rPr>
              <w:t>　30</w:t>
            </w:r>
          </w:p>
        </w:tc>
        <w:tc>
          <w:tcPr>
            <w:tcW w:w="898" w:type="dxa"/>
            <w:vAlign w:val="center"/>
          </w:tcPr>
          <w:p>
            <w:pPr>
              <w:widowControl/>
              <w:jc w:val="center"/>
              <w:rPr>
                <w:rFonts w:hint="default" w:eastAsia="仿宋_GB2312"/>
                <w:color w:val="000000"/>
                <w:kern w:val="0"/>
                <w:szCs w:val="21"/>
              </w:rPr>
            </w:pPr>
            <w:r>
              <w:rPr>
                <w:rFonts w:eastAsia="仿宋_GB2312"/>
                <w:color w:val="000000"/>
                <w:kern w:val="0"/>
                <w:szCs w:val="21"/>
              </w:rPr>
              <w:t>28</w:t>
            </w:r>
          </w:p>
        </w:tc>
        <w:tc>
          <w:tcPr>
            <w:tcW w:w="1531" w:type="dxa"/>
            <w:vAlign w:val="center"/>
          </w:tcPr>
          <w:p>
            <w:pPr>
              <w:widowControl/>
              <w:jc w:val="left"/>
              <w:rPr>
                <w:rFonts w:hint="default" w:eastAsia="仿宋_GB2312"/>
                <w:color w:val="000000"/>
                <w:kern w:val="0"/>
                <w:szCs w:val="21"/>
              </w:rPr>
            </w:pPr>
            <w:r>
              <w:rPr>
                <w:rFonts w:eastAsia="仿宋_GB2312"/>
                <w:color w:val="000000"/>
                <w:kern w:val="0"/>
                <w:szCs w:val="21"/>
              </w:rPr>
              <w:t>加强教学质量管理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86" w:type="dxa"/>
            <w:vMerge w:val="continue"/>
            <w:vAlign w:val="center"/>
          </w:tcPr>
          <w:p>
            <w:pPr>
              <w:jc w:val="center"/>
              <w:rPr>
                <w:rFonts w:hint="default" w:eastAsia="仿宋_GB2312"/>
                <w:color w:val="000000"/>
                <w:kern w:val="0"/>
                <w:szCs w:val="21"/>
              </w:rPr>
            </w:pPr>
          </w:p>
        </w:tc>
        <w:tc>
          <w:tcPr>
            <w:tcW w:w="1080" w:type="dxa"/>
            <w:vMerge w:val="continue"/>
            <w:vAlign w:val="center"/>
          </w:tcPr>
          <w:p>
            <w:pPr>
              <w:jc w:val="left"/>
              <w:rPr>
                <w:rFonts w:hint="default" w:eastAsia="仿宋_GB2312"/>
                <w:color w:val="000000"/>
                <w:kern w:val="0"/>
                <w:szCs w:val="21"/>
              </w:rPr>
            </w:pPr>
          </w:p>
        </w:tc>
        <w:tc>
          <w:tcPr>
            <w:tcW w:w="1501" w:type="dxa"/>
            <w:gridSpan w:val="2"/>
            <w:vAlign w:val="center"/>
          </w:tcPr>
          <w:p>
            <w:pPr>
              <w:widowControl/>
              <w:jc w:val="center"/>
              <w:rPr>
                <w:rFonts w:hint="default" w:eastAsia="仿宋_GB2312"/>
                <w:color w:val="000000"/>
                <w:kern w:val="0"/>
                <w:szCs w:val="21"/>
              </w:rPr>
            </w:pPr>
            <w:r>
              <w:rPr>
                <w:rFonts w:eastAsia="仿宋_GB2312"/>
                <w:color w:val="000000"/>
                <w:kern w:val="0"/>
                <w:szCs w:val="21"/>
              </w:rPr>
              <w:t>生态效益指标</w:t>
            </w:r>
          </w:p>
        </w:tc>
        <w:tc>
          <w:tcPr>
            <w:tcW w:w="1949" w:type="dxa"/>
            <w:gridSpan w:val="2"/>
            <w:vAlign w:val="center"/>
          </w:tcPr>
          <w:p>
            <w:pPr>
              <w:widowControl/>
              <w:jc w:val="left"/>
              <w:rPr>
                <w:rFonts w:hint="default" w:eastAsia="仿宋_GB2312"/>
                <w:color w:val="000000"/>
                <w:kern w:val="0"/>
                <w:szCs w:val="21"/>
              </w:rPr>
            </w:pPr>
            <w:r>
              <w:rPr>
                <w:rFonts w:eastAsia="仿宋_GB2312"/>
                <w:color w:val="000000"/>
                <w:kern w:val="0"/>
                <w:szCs w:val="21"/>
              </w:rPr>
              <w:t>无</w:t>
            </w:r>
          </w:p>
        </w:tc>
        <w:tc>
          <w:tcPr>
            <w:tcW w:w="868" w:type="dxa"/>
            <w:vAlign w:val="center"/>
          </w:tcPr>
          <w:p>
            <w:pPr>
              <w:widowControl/>
              <w:jc w:val="left"/>
              <w:rPr>
                <w:rFonts w:hint="default" w:eastAsia="仿宋_GB2312"/>
                <w:color w:val="000000"/>
                <w:kern w:val="0"/>
                <w:szCs w:val="21"/>
              </w:rPr>
            </w:pPr>
            <w:r>
              <w:rPr>
                <w:rFonts w:eastAsia="仿宋_GB2312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1134" w:type="dxa"/>
            <w:vAlign w:val="center"/>
          </w:tcPr>
          <w:p>
            <w:pPr>
              <w:widowControl/>
              <w:jc w:val="left"/>
              <w:rPr>
                <w:rFonts w:hint="default" w:eastAsia="仿宋_GB2312"/>
                <w:color w:val="000000"/>
                <w:kern w:val="0"/>
                <w:szCs w:val="21"/>
              </w:rPr>
            </w:pPr>
            <w:r>
              <w:rPr>
                <w:rFonts w:eastAsia="仿宋_GB2312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709" w:type="dxa"/>
            <w:vAlign w:val="center"/>
          </w:tcPr>
          <w:p>
            <w:pPr>
              <w:widowControl/>
              <w:jc w:val="left"/>
              <w:rPr>
                <w:rFonts w:hint="default" w:eastAsia="仿宋_GB2312"/>
                <w:color w:val="000000"/>
                <w:kern w:val="0"/>
                <w:szCs w:val="21"/>
              </w:rPr>
            </w:pPr>
            <w:r>
              <w:rPr>
                <w:rFonts w:eastAsia="仿宋_GB2312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898" w:type="dxa"/>
            <w:vAlign w:val="center"/>
          </w:tcPr>
          <w:p>
            <w:pPr>
              <w:widowControl/>
              <w:jc w:val="left"/>
              <w:rPr>
                <w:rFonts w:hint="default" w:eastAsia="仿宋_GB2312"/>
                <w:color w:val="000000"/>
                <w:kern w:val="0"/>
                <w:szCs w:val="21"/>
              </w:rPr>
            </w:pPr>
            <w:r>
              <w:rPr>
                <w:rFonts w:eastAsia="仿宋_GB2312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1531" w:type="dxa"/>
            <w:vAlign w:val="center"/>
          </w:tcPr>
          <w:p>
            <w:pPr>
              <w:widowControl/>
              <w:jc w:val="left"/>
              <w:rPr>
                <w:rFonts w:hint="default" w:eastAsia="仿宋_GB2312"/>
                <w:color w:val="000000"/>
                <w:kern w:val="0"/>
                <w:szCs w:val="21"/>
              </w:rPr>
            </w:pPr>
            <w:r>
              <w:rPr>
                <w:rFonts w:eastAsia="仿宋_GB2312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686" w:type="dxa"/>
            <w:vMerge w:val="continue"/>
            <w:vAlign w:val="center"/>
          </w:tcPr>
          <w:p>
            <w:pPr>
              <w:widowControl/>
              <w:jc w:val="center"/>
              <w:rPr>
                <w:rFonts w:hint="default" w:eastAsia="仿宋_GB2312"/>
                <w:color w:val="000000"/>
                <w:kern w:val="0"/>
                <w:szCs w:val="21"/>
              </w:rPr>
            </w:pPr>
          </w:p>
        </w:tc>
        <w:tc>
          <w:tcPr>
            <w:tcW w:w="1080" w:type="dxa"/>
            <w:vMerge w:val="continue"/>
            <w:vAlign w:val="center"/>
          </w:tcPr>
          <w:p>
            <w:pPr>
              <w:widowControl/>
              <w:jc w:val="left"/>
              <w:rPr>
                <w:rFonts w:hint="default" w:eastAsia="仿宋_GB2312"/>
                <w:color w:val="000000"/>
                <w:kern w:val="0"/>
                <w:szCs w:val="21"/>
              </w:rPr>
            </w:pPr>
          </w:p>
        </w:tc>
        <w:tc>
          <w:tcPr>
            <w:tcW w:w="1501" w:type="dxa"/>
            <w:gridSpan w:val="2"/>
            <w:vAlign w:val="center"/>
          </w:tcPr>
          <w:p>
            <w:pPr>
              <w:widowControl/>
              <w:jc w:val="center"/>
              <w:rPr>
                <w:rFonts w:hint="default" w:eastAsia="仿宋_GB2312"/>
                <w:color w:val="000000"/>
                <w:kern w:val="0"/>
                <w:szCs w:val="21"/>
              </w:rPr>
            </w:pPr>
            <w:r>
              <w:rPr>
                <w:rFonts w:eastAsia="仿宋_GB2312"/>
                <w:color w:val="000000"/>
                <w:kern w:val="0"/>
                <w:szCs w:val="21"/>
              </w:rPr>
              <w:t>可持续影响指标</w:t>
            </w:r>
          </w:p>
        </w:tc>
        <w:tc>
          <w:tcPr>
            <w:tcW w:w="1949" w:type="dxa"/>
            <w:gridSpan w:val="2"/>
            <w:vAlign w:val="center"/>
          </w:tcPr>
          <w:p>
            <w:pPr>
              <w:widowControl/>
              <w:jc w:val="left"/>
              <w:rPr>
                <w:rFonts w:hint="default" w:eastAsia="仿宋_GB2312"/>
                <w:color w:val="000000"/>
                <w:kern w:val="0"/>
                <w:szCs w:val="21"/>
              </w:rPr>
            </w:pPr>
            <w:r>
              <w:rPr>
                <w:rFonts w:eastAsia="仿宋_GB2312"/>
                <w:color w:val="000000"/>
                <w:kern w:val="0"/>
                <w:szCs w:val="21"/>
              </w:rPr>
              <w:t>无</w:t>
            </w:r>
          </w:p>
        </w:tc>
        <w:tc>
          <w:tcPr>
            <w:tcW w:w="868" w:type="dxa"/>
            <w:vAlign w:val="center"/>
          </w:tcPr>
          <w:p>
            <w:pPr>
              <w:widowControl/>
              <w:jc w:val="left"/>
              <w:rPr>
                <w:rFonts w:hint="default" w:eastAsia="仿宋_GB2312"/>
                <w:color w:val="000000"/>
                <w:kern w:val="0"/>
                <w:szCs w:val="21"/>
              </w:rPr>
            </w:pPr>
            <w:r>
              <w:rPr>
                <w:rFonts w:eastAsia="仿宋_GB2312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1134" w:type="dxa"/>
            <w:vAlign w:val="center"/>
          </w:tcPr>
          <w:p>
            <w:pPr>
              <w:widowControl/>
              <w:jc w:val="left"/>
              <w:rPr>
                <w:rFonts w:hint="default" w:eastAsia="仿宋_GB2312"/>
                <w:color w:val="000000"/>
                <w:kern w:val="0"/>
                <w:szCs w:val="21"/>
              </w:rPr>
            </w:pPr>
            <w:r>
              <w:rPr>
                <w:rFonts w:eastAsia="仿宋_GB2312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709" w:type="dxa"/>
            <w:vAlign w:val="center"/>
          </w:tcPr>
          <w:p>
            <w:pPr>
              <w:widowControl/>
              <w:jc w:val="left"/>
              <w:rPr>
                <w:rFonts w:hint="default" w:eastAsia="仿宋_GB2312"/>
                <w:color w:val="000000"/>
                <w:kern w:val="0"/>
                <w:szCs w:val="21"/>
              </w:rPr>
            </w:pPr>
            <w:r>
              <w:rPr>
                <w:rFonts w:eastAsia="仿宋_GB2312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898" w:type="dxa"/>
            <w:vAlign w:val="center"/>
          </w:tcPr>
          <w:p>
            <w:pPr>
              <w:widowControl/>
              <w:jc w:val="left"/>
              <w:rPr>
                <w:rFonts w:hint="default" w:eastAsia="仿宋_GB2312"/>
                <w:color w:val="000000"/>
                <w:kern w:val="0"/>
                <w:szCs w:val="21"/>
              </w:rPr>
            </w:pPr>
            <w:r>
              <w:rPr>
                <w:rFonts w:eastAsia="仿宋_GB2312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1531" w:type="dxa"/>
            <w:vAlign w:val="center"/>
          </w:tcPr>
          <w:p>
            <w:pPr>
              <w:widowControl/>
              <w:jc w:val="left"/>
              <w:rPr>
                <w:rFonts w:hint="default" w:eastAsia="仿宋_GB2312"/>
                <w:color w:val="000000"/>
                <w:kern w:val="0"/>
                <w:szCs w:val="21"/>
              </w:rPr>
            </w:pPr>
            <w:r>
              <w:rPr>
                <w:rFonts w:eastAsia="仿宋_GB2312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1" w:hRule="atLeast"/>
          <w:jc w:val="center"/>
        </w:trPr>
        <w:tc>
          <w:tcPr>
            <w:tcW w:w="686" w:type="dxa"/>
            <w:vMerge w:val="continue"/>
            <w:vAlign w:val="center"/>
          </w:tcPr>
          <w:p>
            <w:pPr>
              <w:jc w:val="left"/>
              <w:rPr>
                <w:rFonts w:hint="default" w:eastAsia="仿宋_GB2312"/>
                <w:color w:val="000000"/>
                <w:kern w:val="0"/>
                <w:szCs w:val="21"/>
              </w:rPr>
            </w:pPr>
          </w:p>
        </w:tc>
        <w:tc>
          <w:tcPr>
            <w:tcW w:w="1080" w:type="dxa"/>
            <w:vAlign w:val="center"/>
          </w:tcPr>
          <w:p>
            <w:pPr>
              <w:widowControl/>
              <w:jc w:val="center"/>
              <w:rPr>
                <w:rFonts w:hint="default" w:eastAsia="仿宋_GB2312"/>
                <w:color w:val="000000"/>
                <w:kern w:val="0"/>
                <w:szCs w:val="21"/>
              </w:rPr>
            </w:pPr>
            <w:r>
              <w:rPr>
                <w:rFonts w:eastAsia="仿宋_GB2312"/>
                <w:color w:val="000000"/>
                <w:kern w:val="0"/>
                <w:szCs w:val="21"/>
              </w:rPr>
              <w:t>满意度</w:t>
            </w:r>
          </w:p>
          <w:p>
            <w:pPr>
              <w:widowControl/>
              <w:jc w:val="center"/>
              <w:rPr>
                <w:rFonts w:hint="default" w:eastAsia="仿宋_GB2312"/>
                <w:color w:val="000000"/>
                <w:kern w:val="0"/>
                <w:szCs w:val="21"/>
              </w:rPr>
            </w:pPr>
            <w:r>
              <w:rPr>
                <w:rFonts w:eastAsia="仿宋_GB2312"/>
                <w:color w:val="000000"/>
                <w:kern w:val="0"/>
                <w:szCs w:val="21"/>
              </w:rPr>
              <w:t>指标</w:t>
            </w:r>
          </w:p>
          <w:p>
            <w:pPr>
              <w:widowControl/>
              <w:jc w:val="center"/>
              <w:rPr>
                <w:rFonts w:hint="default" w:eastAsia="仿宋_GB2312"/>
                <w:color w:val="000000"/>
                <w:kern w:val="0"/>
                <w:szCs w:val="21"/>
              </w:rPr>
            </w:pPr>
            <w:r>
              <w:rPr>
                <w:rFonts w:eastAsia="仿宋_GB2312"/>
                <w:color w:val="000000"/>
                <w:kern w:val="0"/>
                <w:szCs w:val="21"/>
              </w:rPr>
              <w:t>（10分）</w:t>
            </w:r>
          </w:p>
        </w:tc>
        <w:tc>
          <w:tcPr>
            <w:tcW w:w="1501" w:type="dxa"/>
            <w:gridSpan w:val="2"/>
            <w:vAlign w:val="center"/>
          </w:tcPr>
          <w:p>
            <w:pPr>
              <w:widowControl/>
              <w:jc w:val="center"/>
              <w:rPr>
                <w:rFonts w:hint="default" w:eastAsia="仿宋_GB2312"/>
                <w:color w:val="000000"/>
                <w:kern w:val="0"/>
                <w:szCs w:val="21"/>
              </w:rPr>
            </w:pPr>
            <w:r>
              <w:rPr>
                <w:rFonts w:eastAsia="仿宋_GB2312"/>
                <w:color w:val="000000"/>
                <w:kern w:val="0"/>
                <w:szCs w:val="21"/>
              </w:rPr>
              <w:t>服务对象满意度指标</w:t>
            </w:r>
          </w:p>
        </w:tc>
        <w:tc>
          <w:tcPr>
            <w:tcW w:w="1949" w:type="dxa"/>
            <w:gridSpan w:val="2"/>
            <w:vAlign w:val="center"/>
          </w:tcPr>
          <w:p>
            <w:pPr>
              <w:widowControl/>
              <w:jc w:val="left"/>
              <w:rPr>
                <w:rFonts w:hint="default" w:eastAsia="仿宋_GB2312"/>
                <w:color w:val="000000"/>
                <w:kern w:val="0"/>
                <w:szCs w:val="21"/>
              </w:rPr>
            </w:pPr>
            <w:r>
              <w:rPr>
                <w:rFonts w:eastAsia="仿宋_GB2312"/>
                <w:color w:val="000000"/>
                <w:kern w:val="0"/>
                <w:szCs w:val="21"/>
              </w:rPr>
              <w:t>培训对象满意度</w:t>
            </w:r>
          </w:p>
        </w:tc>
        <w:tc>
          <w:tcPr>
            <w:tcW w:w="868" w:type="dxa"/>
            <w:vAlign w:val="center"/>
          </w:tcPr>
          <w:p>
            <w:pPr>
              <w:widowControl/>
              <w:jc w:val="left"/>
              <w:rPr>
                <w:rFonts w:hint="default" w:eastAsia="仿宋_GB2312"/>
                <w:color w:val="000000"/>
                <w:kern w:val="0"/>
                <w:szCs w:val="21"/>
              </w:rPr>
            </w:pPr>
            <w:r>
              <w:rPr>
                <w:rFonts w:eastAsia="仿宋_GB2312"/>
                <w:color w:val="000000"/>
                <w:kern w:val="0"/>
                <w:szCs w:val="21"/>
              </w:rPr>
              <w:t>大于90%</w:t>
            </w:r>
          </w:p>
        </w:tc>
        <w:tc>
          <w:tcPr>
            <w:tcW w:w="1134" w:type="dxa"/>
            <w:vAlign w:val="center"/>
          </w:tcPr>
          <w:p>
            <w:pPr>
              <w:widowControl/>
              <w:jc w:val="left"/>
              <w:rPr>
                <w:rFonts w:hint="default" w:eastAsia="仿宋_GB2312"/>
                <w:color w:val="000000"/>
                <w:kern w:val="0"/>
                <w:szCs w:val="21"/>
              </w:rPr>
            </w:pPr>
            <w:r>
              <w:rPr>
                <w:rFonts w:eastAsia="仿宋_GB2312"/>
                <w:color w:val="000000"/>
                <w:kern w:val="0"/>
                <w:szCs w:val="21"/>
              </w:rPr>
              <w:t>　95%</w:t>
            </w:r>
          </w:p>
        </w:tc>
        <w:tc>
          <w:tcPr>
            <w:tcW w:w="709" w:type="dxa"/>
            <w:vAlign w:val="center"/>
          </w:tcPr>
          <w:p>
            <w:pPr>
              <w:widowControl/>
              <w:jc w:val="left"/>
              <w:rPr>
                <w:rFonts w:hint="default" w:eastAsia="仿宋_GB2312"/>
                <w:color w:val="000000"/>
                <w:kern w:val="0"/>
                <w:szCs w:val="21"/>
              </w:rPr>
            </w:pPr>
            <w:r>
              <w:rPr>
                <w:rFonts w:eastAsia="仿宋_GB2312"/>
                <w:color w:val="000000"/>
                <w:kern w:val="0"/>
                <w:szCs w:val="21"/>
              </w:rPr>
              <w:t>　10</w:t>
            </w:r>
          </w:p>
        </w:tc>
        <w:tc>
          <w:tcPr>
            <w:tcW w:w="898" w:type="dxa"/>
            <w:vAlign w:val="center"/>
          </w:tcPr>
          <w:p>
            <w:pPr>
              <w:widowControl/>
              <w:jc w:val="left"/>
              <w:rPr>
                <w:rFonts w:hint="default" w:eastAsia="仿宋_GB2312"/>
                <w:color w:val="000000"/>
                <w:kern w:val="0"/>
                <w:szCs w:val="21"/>
              </w:rPr>
            </w:pPr>
            <w:r>
              <w:rPr>
                <w:rFonts w:eastAsia="仿宋_GB2312"/>
                <w:color w:val="000000"/>
                <w:kern w:val="0"/>
                <w:szCs w:val="21"/>
              </w:rPr>
              <w:t>　10</w:t>
            </w:r>
          </w:p>
        </w:tc>
        <w:tc>
          <w:tcPr>
            <w:tcW w:w="1531" w:type="dxa"/>
            <w:vAlign w:val="center"/>
          </w:tcPr>
          <w:p>
            <w:pPr>
              <w:widowControl/>
              <w:jc w:val="left"/>
              <w:rPr>
                <w:rFonts w:hint="default" w:eastAsia="仿宋_GB2312"/>
                <w:color w:val="000000"/>
                <w:kern w:val="0"/>
                <w:szCs w:val="21"/>
              </w:rPr>
            </w:pPr>
            <w:r>
              <w:rPr>
                <w:rFonts w:eastAsia="仿宋_GB2312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7218" w:type="dxa"/>
            <w:gridSpan w:val="8"/>
            <w:vAlign w:val="center"/>
          </w:tcPr>
          <w:p>
            <w:pPr>
              <w:widowControl/>
              <w:jc w:val="center"/>
              <w:rPr>
                <w:rFonts w:hint="default" w:eastAsia="仿宋_GB2312"/>
                <w:color w:val="000000"/>
                <w:kern w:val="0"/>
                <w:szCs w:val="21"/>
              </w:rPr>
            </w:pPr>
            <w:r>
              <w:rPr>
                <w:rFonts w:eastAsia="仿宋_GB2312"/>
                <w:color w:val="000000"/>
                <w:kern w:val="0"/>
                <w:szCs w:val="21"/>
              </w:rPr>
              <w:t>总分</w:t>
            </w:r>
          </w:p>
        </w:tc>
        <w:tc>
          <w:tcPr>
            <w:tcW w:w="709" w:type="dxa"/>
            <w:vAlign w:val="center"/>
          </w:tcPr>
          <w:p>
            <w:pPr>
              <w:widowControl/>
              <w:jc w:val="center"/>
              <w:rPr>
                <w:rFonts w:hint="default" w:eastAsia="仿宋_GB2312"/>
                <w:color w:val="000000"/>
                <w:kern w:val="0"/>
                <w:szCs w:val="21"/>
              </w:rPr>
            </w:pPr>
            <w:r>
              <w:rPr>
                <w:rFonts w:eastAsia="仿宋_GB2312"/>
                <w:color w:val="000000"/>
                <w:kern w:val="0"/>
                <w:szCs w:val="21"/>
              </w:rPr>
              <w:t>100</w:t>
            </w:r>
          </w:p>
        </w:tc>
        <w:tc>
          <w:tcPr>
            <w:tcW w:w="898" w:type="dxa"/>
            <w:vAlign w:val="center"/>
          </w:tcPr>
          <w:p>
            <w:pPr>
              <w:widowControl/>
              <w:jc w:val="center"/>
              <w:rPr>
                <w:rFonts w:hint="default" w:eastAsia="仿宋_GB2312"/>
                <w:color w:val="000000"/>
                <w:kern w:val="0"/>
                <w:szCs w:val="21"/>
              </w:rPr>
            </w:pPr>
            <w:r>
              <w:rPr>
                <w:rFonts w:eastAsia="仿宋_GB2312"/>
                <w:color w:val="000000"/>
                <w:kern w:val="0"/>
                <w:szCs w:val="21"/>
              </w:rPr>
              <w:t>98</w:t>
            </w:r>
          </w:p>
        </w:tc>
        <w:tc>
          <w:tcPr>
            <w:tcW w:w="1531" w:type="dxa"/>
            <w:vAlign w:val="center"/>
          </w:tcPr>
          <w:p>
            <w:pPr>
              <w:widowControl/>
              <w:jc w:val="left"/>
              <w:rPr>
                <w:rFonts w:hint="default" w:eastAsia="仿宋_GB2312"/>
                <w:color w:val="000000"/>
                <w:kern w:val="0"/>
                <w:szCs w:val="21"/>
              </w:rPr>
            </w:pPr>
            <w:r>
              <w:rPr>
                <w:rFonts w:eastAsia="仿宋_GB2312"/>
                <w:color w:val="000000"/>
                <w:kern w:val="0"/>
                <w:szCs w:val="21"/>
              </w:rPr>
              <w:t>　</w:t>
            </w:r>
          </w:p>
        </w:tc>
      </w:tr>
    </w:tbl>
    <w:p>
      <w:pPr>
        <w:widowControl/>
        <w:spacing w:line="20" w:lineRule="exact"/>
        <w:jc w:val="left"/>
        <w:rPr>
          <w:rFonts w:hint="default" w:eastAsia="黑体"/>
          <w:sz w:val="32"/>
          <w:szCs w:val="32"/>
        </w:rPr>
      </w:pPr>
    </w:p>
    <w:p>
      <w:pPr>
        <w:jc w:val="left"/>
        <w:rPr>
          <w:rFonts w:hint="default"/>
        </w:rPr>
      </w:pPr>
    </w:p>
    <w:sectPr>
      <w:pgSz w:w="11906" w:h="16838"/>
      <w:pgMar w:top="1100" w:right="1800" w:bottom="986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Nimbus Roman No9 L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微软雅黑">
    <w:altName w:val="黑体"/>
    <w:panose1 w:val="020B0503020204020204"/>
    <w:charset w:val="86"/>
    <w:family w:val="swiss"/>
    <w:pitch w:val="default"/>
    <w:sig w:usb0="00000000" w:usb1="00000000" w:usb2="00000016" w:usb3="00000000" w:csb0="0004001F" w:csb1="00000000"/>
  </w:font>
  <w:font w:name="方正小标宋_GBK">
    <w:panose1 w:val="02000000000000000000"/>
    <w:charset w:val="86"/>
    <w:family w:val="script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2000000000000000000"/>
    <w:charset w:val="86"/>
    <w:family w:val="script"/>
    <w:pitch w:val="default"/>
    <w:sig w:usb0="A00002BF" w:usb1="184F6CFA" w:usb2="00000012" w:usb3="00000000" w:csb0="00040001" w:csb1="00000000"/>
  </w:font>
  <w:font w:name="Batang">
    <w:altName w:val="方正书宋_GBK"/>
    <w:panose1 w:val="02030600000101010101"/>
    <w:charset w:val="81"/>
    <w:family w:val="auto"/>
    <w:pitch w:val="default"/>
    <w:sig w:usb0="00000000" w:usb1="00000000" w:usb2="00000010" w:usb3="00000000" w:csb0="00080000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Nimbus Roman No9 L"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documentProtection w:enforcement="0"/>
  <w:defaultTabStop w:val="420"/>
  <w:drawingGridVerticalSpacing w:val="156"/>
  <w:noPunctuationKerning w:val="true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FiMzg3MTI5Zjk0NjNlYTI0YTU1ZmNlNzM0NTkxY2IifQ=="/>
  </w:docVars>
  <w:rsids>
    <w:rsidRoot w:val="1A49587E"/>
    <w:rsid w:val="000116F9"/>
    <w:rsid w:val="00101EB1"/>
    <w:rsid w:val="050E343D"/>
    <w:rsid w:val="05D15F11"/>
    <w:rsid w:val="05D35F41"/>
    <w:rsid w:val="090B246F"/>
    <w:rsid w:val="14776AEA"/>
    <w:rsid w:val="197E6809"/>
    <w:rsid w:val="1A49587E"/>
    <w:rsid w:val="1BE10978"/>
    <w:rsid w:val="1C910E05"/>
    <w:rsid w:val="1D6464AA"/>
    <w:rsid w:val="2A8A1093"/>
    <w:rsid w:val="332E7764"/>
    <w:rsid w:val="351F3551"/>
    <w:rsid w:val="3EC5458F"/>
    <w:rsid w:val="42073AA4"/>
    <w:rsid w:val="42D167FB"/>
    <w:rsid w:val="4A6242BC"/>
    <w:rsid w:val="4AF730CE"/>
    <w:rsid w:val="5676560C"/>
    <w:rsid w:val="591E3AA4"/>
    <w:rsid w:val="5A8F36FA"/>
    <w:rsid w:val="6AC26B2C"/>
    <w:rsid w:val="6ED93653"/>
    <w:rsid w:val="6F185FAD"/>
    <w:rsid w:val="73281F13"/>
    <w:rsid w:val="FAF737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qFormat="1"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0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hint="eastAsia"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styleId="5">
    <w:name w:val="FollowedHyperlink"/>
    <w:basedOn w:val="4"/>
    <w:qFormat/>
    <w:uiPriority w:val="0"/>
    <w:rPr>
      <w:color w:val="4C4C4C"/>
      <w:u w:val="none"/>
    </w:rPr>
  </w:style>
  <w:style w:type="character" w:styleId="6">
    <w:name w:val="Emphasis"/>
    <w:basedOn w:val="4"/>
    <w:qFormat/>
    <w:uiPriority w:val="0"/>
    <w:rPr>
      <w:rFonts w:ascii="微软雅黑" w:hAnsi="微软雅黑" w:eastAsia="微软雅黑" w:cs="微软雅黑"/>
    </w:rPr>
  </w:style>
  <w:style w:type="character" w:styleId="7">
    <w:name w:val="Hyperlink"/>
    <w:basedOn w:val="4"/>
    <w:qFormat/>
    <w:uiPriority w:val="0"/>
    <w:rPr>
      <w:color w:val="4C4C4C"/>
      <w:u w:val="none"/>
    </w:rPr>
  </w:style>
  <w:style w:type="character" w:styleId="8">
    <w:name w:val="HTML Code"/>
    <w:basedOn w:val="4"/>
    <w:qFormat/>
    <w:uiPriority w:val="0"/>
    <w:rPr>
      <w:rFonts w:ascii="微软雅黑" w:hAnsi="微软雅黑" w:eastAsia="微软雅黑" w:cs="微软雅黑"/>
      <w:sz w:val="18"/>
      <w:szCs w:val="18"/>
    </w:rPr>
  </w:style>
  <w:style w:type="paragraph" w:styleId="9">
    <w:name w:val="List Paragraph"/>
    <w:basedOn w:val="1"/>
    <w:qFormat/>
    <w:uiPriority w:val="0"/>
    <w:pPr>
      <w:ind w:firstLine="420" w:firstLineChars="200"/>
    </w:pPr>
    <w:rPr>
      <w:rFonts w:hint="default" w:ascii="Calibri" w:hAnsi="Calibri"/>
      <w:szCs w:val="22"/>
    </w:rPr>
  </w:style>
  <w:style w:type="character" w:customStyle="1" w:styleId="10">
    <w:name w:val="xx_gzdt"/>
    <w:basedOn w:val="4"/>
    <w:qFormat/>
    <w:uiPriority w:val="0"/>
  </w:style>
  <w:style w:type="character" w:customStyle="1" w:styleId="11">
    <w:name w:val="tyxydm"/>
    <w:basedOn w:val="4"/>
    <w:qFormat/>
    <w:uiPriority w:val="0"/>
  </w:style>
  <w:style w:type="character" w:customStyle="1" w:styleId="12">
    <w:name w:val="gzjy"/>
    <w:basedOn w:val="4"/>
    <w:qFormat/>
    <w:uiPriority w:val="0"/>
  </w:style>
  <w:style w:type="character" w:customStyle="1" w:styleId="13">
    <w:name w:val="smgs_arr"/>
    <w:basedOn w:val="4"/>
    <w:qFormat/>
    <w:uiPriority w:val="0"/>
    <w:rPr>
      <w:vanish/>
    </w:rPr>
  </w:style>
  <w:style w:type="character" w:customStyle="1" w:styleId="14">
    <w:name w:val="tgxx"/>
    <w:basedOn w:val="4"/>
    <w:qFormat/>
    <w:uiPriority w:val="0"/>
  </w:style>
  <w:style w:type="character" w:customStyle="1" w:styleId="15">
    <w:name w:val="tgxx1"/>
    <w:basedOn w:val="4"/>
    <w:qFormat/>
    <w:uiPriority w:val="0"/>
    <w:rPr>
      <w:shd w:val="clear" w:color="auto" w:fill="008567"/>
    </w:rPr>
  </w:style>
  <w:style w:type="character" w:customStyle="1" w:styleId="16">
    <w:name w:val="xz"/>
    <w:basedOn w:val="4"/>
    <w:qFormat/>
    <w:uiPriority w:val="0"/>
  </w:style>
  <w:style w:type="character" w:customStyle="1" w:styleId="17">
    <w:name w:val="dropselect_box"/>
    <w:basedOn w:val="4"/>
    <w:qFormat/>
    <w:uiPriority w:val="0"/>
  </w:style>
  <w:style w:type="character" w:customStyle="1" w:styleId="18">
    <w:name w:val="dropselect_box1"/>
    <w:basedOn w:val="4"/>
    <w:qFormat/>
    <w:uiPriority w:val="0"/>
  </w:style>
  <w:style w:type="character" w:customStyle="1" w:styleId="19">
    <w:name w:val="xx_czxx"/>
    <w:basedOn w:val="4"/>
    <w:qFormat/>
    <w:uiPriority w:val="0"/>
  </w:style>
  <w:style w:type="character" w:customStyle="1" w:styleId="20">
    <w:name w:val="sydwndbg"/>
    <w:basedOn w:val="4"/>
    <w:qFormat/>
    <w:uiPriority w:val="0"/>
  </w:style>
  <w:style w:type="character" w:customStyle="1" w:styleId="21">
    <w:name w:val="sydwndbg1"/>
    <w:basedOn w:val="4"/>
    <w:qFormat/>
    <w:uiPriority w:val="0"/>
  </w:style>
  <w:style w:type="character" w:customStyle="1" w:styleId="22">
    <w:name w:val="jgggfa"/>
    <w:basedOn w:val="4"/>
    <w:qFormat/>
    <w:uiPriority w:val="0"/>
  </w:style>
  <w:style w:type="character" w:customStyle="1" w:styleId="23">
    <w:name w:val="jgggfa1"/>
    <w:basedOn w:val="4"/>
    <w:qFormat/>
    <w:uiPriority w:val="0"/>
  </w:style>
  <w:style w:type="character" w:customStyle="1" w:styleId="24">
    <w:name w:val="sydwfl"/>
    <w:basedOn w:val="4"/>
    <w:qFormat/>
    <w:uiPriority w:val="0"/>
  </w:style>
  <w:style w:type="character" w:customStyle="1" w:styleId="25">
    <w:name w:val="sydwfl1"/>
    <w:basedOn w:val="4"/>
    <w:qFormat/>
    <w:uiPriority w:val="0"/>
  </w:style>
  <w:style w:type="character" w:customStyle="1" w:styleId="26">
    <w:name w:val="smzxx"/>
    <w:basedOn w:val="4"/>
    <w:qFormat/>
    <w:uiPriority w:val="0"/>
  </w:style>
  <w:style w:type="character" w:customStyle="1" w:styleId="27">
    <w:name w:val="smzxx1"/>
    <w:basedOn w:val="4"/>
    <w:qFormat/>
    <w:uiPriority w:val="0"/>
  </w:style>
  <w:style w:type="character" w:customStyle="1" w:styleId="28">
    <w:name w:val="sydwdjgs"/>
    <w:basedOn w:val="4"/>
    <w:qFormat/>
    <w:uiPriority w:val="0"/>
  </w:style>
  <w:style w:type="character" w:customStyle="1" w:styleId="29">
    <w:name w:val="sydwdjgs1"/>
    <w:basedOn w:val="4"/>
    <w:qFormat/>
    <w:uiPriority w:val="0"/>
  </w:style>
  <w:style w:type="character" w:customStyle="1" w:styleId="30">
    <w:name w:val="wzgm"/>
    <w:basedOn w:val="4"/>
    <w:qFormat/>
    <w:uiPriority w:val="0"/>
  </w:style>
  <w:style w:type="character" w:customStyle="1" w:styleId="31">
    <w:name w:val="wzgm1"/>
    <w:basedOn w:val="4"/>
    <w:qFormat/>
    <w:uiPriority w:val="0"/>
  </w:style>
  <w:style w:type="character" w:customStyle="1" w:styleId="32">
    <w:name w:val="jyta"/>
    <w:basedOn w:val="4"/>
    <w:qFormat/>
    <w:uiPriority w:val="0"/>
  </w:style>
  <w:style w:type="character" w:customStyle="1" w:styleId="33">
    <w:name w:val="jyta1"/>
    <w:basedOn w:val="4"/>
    <w:qFormat/>
    <w:uiPriority w:val="0"/>
  </w:style>
  <w:style w:type="character" w:customStyle="1" w:styleId="34">
    <w:name w:val="xx_jgzn"/>
    <w:basedOn w:val="4"/>
    <w:qFormat/>
    <w:uiPriority w:val="0"/>
  </w:style>
  <w:style w:type="character" w:customStyle="1" w:styleId="35">
    <w:name w:val="xx_tztg"/>
    <w:basedOn w:val="4"/>
    <w:qFormat/>
    <w:uiPriority w:val="0"/>
  </w:style>
  <w:style w:type="character" w:customStyle="1" w:styleId="36">
    <w:name w:val="xx_qdml"/>
    <w:basedOn w:val="4"/>
    <w:qFormat/>
    <w:uiPriority w:val="0"/>
  </w:style>
  <w:style w:type="character" w:customStyle="1" w:styleId="37">
    <w:name w:val="xx_gkml"/>
    <w:basedOn w:val="4"/>
    <w:qFormat/>
    <w:uiPriority w:val="0"/>
  </w:style>
  <w:style w:type="character" w:customStyle="1" w:styleId="38">
    <w:name w:val="xx_sqgk"/>
    <w:basedOn w:val="4"/>
    <w:qFormat/>
    <w:uiPriority w:val="0"/>
  </w:style>
  <w:style w:type="character" w:customStyle="1" w:styleId="39">
    <w:name w:val="xx_xzzx"/>
    <w:basedOn w:val="4"/>
    <w:qFormat/>
    <w:uiPriority w:val="0"/>
  </w:style>
  <w:style w:type="character" w:customStyle="1" w:styleId="40">
    <w:name w:val="xx_gkgs"/>
    <w:basedOn w:val="4"/>
    <w:qFormat/>
    <w:uiPriority w:val="0"/>
  </w:style>
  <w:style w:type="character" w:customStyle="1" w:styleId="41">
    <w:name w:val="tsjb"/>
    <w:basedOn w:val="4"/>
    <w:qFormat/>
    <w:uiPriority w:val="0"/>
    <w:rPr>
      <w:shd w:val="clear" w:color="auto" w:fill="008567"/>
    </w:rPr>
  </w:style>
  <w:style w:type="character" w:customStyle="1" w:styleId="42">
    <w:name w:val="wx-space"/>
    <w:basedOn w:val="4"/>
    <w:qFormat/>
    <w:uiPriority w:val="0"/>
  </w:style>
  <w:style w:type="character" w:customStyle="1" w:styleId="43">
    <w:name w:val="wx-space1"/>
    <w:basedOn w:val="4"/>
    <w:qFormat/>
    <w:uiPriority w:val="0"/>
  </w:style>
  <w:style w:type="character" w:customStyle="1" w:styleId="44">
    <w:name w:val="a1"/>
    <w:basedOn w:val="4"/>
    <w:qFormat/>
    <w:uiPriority w:val="0"/>
  </w:style>
  <w:style w:type="character" w:customStyle="1" w:styleId="45">
    <w:name w:val="a2"/>
    <w:basedOn w:val="4"/>
    <w:qFormat/>
    <w:uiPriority w:val="0"/>
  </w:style>
  <w:style w:type="character" w:customStyle="1" w:styleId="46">
    <w:name w:val="a3"/>
    <w:basedOn w:val="4"/>
    <w:qFormat/>
    <w:uiPriority w:val="0"/>
  </w:style>
  <w:style w:type="character" w:customStyle="1" w:styleId="47">
    <w:name w:val="hover28"/>
    <w:basedOn w:val="4"/>
    <w:qFormat/>
    <w:uiPriority w:val="0"/>
    <w:rPr>
      <w:color w:val="000000"/>
      <w:shd w:val="clear" w:color="auto" w:fill="FFFFFF"/>
    </w:rPr>
  </w:style>
  <w:style w:type="character" w:customStyle="1" w:styleId="48">
    <w:name w:val="n1"/>
    <w:basedOn w:val="4"/>
    <w:qFormat/>
    <w:uiPriority w:val="0"/>
  </w:style>
  <w:style w:type="character" w:customStyle="1" w:styleId="49">
    <w:name w:val="a4"/>
    <w:basedOn w:val="4"/>
    <w:qFormat/>
    <w:uiPriority w:val="0"/>
  </w:style>
  <w:style w:type="character" w:customStyle="1" w:styleId="50">
    <w:name w:val="n2"/>
    <w:basedOn w:val="4"/>
    <w:qFormat/>
    <w:uiPriority w:val="0"/>
  </w:style>
  <w:style w:type="character" w:customStyle="1" w:styleId="51">
    <w:name w:val="n3"/>
    <w:basedOn w:val="4"/>
    <w:qFormat/>
    <w:uiPriority w:val="0"/>
  </w:style>
  <w:style w:type="character" w:customStyle="1" w:styleId="52">
    <w:name w:val="n4"/>
    <w:basedOn w:val="4"/>
    <w:qFormat/>
    <w:uiPriority w:val="0"/>
  </w:style>
  <w:style w:type="character" w:customStyle="1" w:styleId="53">
    <w:name w:val="n5"/>
    <w:basedOn w:val="4"/>
    <w:qFormat/>
    <w:uiPriority w:val="0"/>
  </w:style>
  <w:style w:type="character" w:customStyle="1" w:styleId="54">
    <w:name w:val="line"/>
    <w:basedOn w:val="4"/>
    <w:qFormat/>
    <w:uiPriority w:val="0"/>
  </w:style>
  <w:style w:type="character" w:customStyle="1" w:styleId="55">
    <w:name w:val="line1"/>
    <w:basedOn w:val="4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6</Pages>
  <Words>611</Words>
  <Characters>3488</Characters>
  <Lines>29</Lines>
  <Paragraphs>8</Paragraphs>
  <TotalTime>1</TotalTime>
  <ScaleCrop>false</ScaleCrop>
  <LinksUpToDate>false</LinksUpToDate>
  <CharactersWithSpaces>4091</CharactersWithSpaces>
  <Application>WPS Office_11.8.2.9980_F1E327BC-269C-435d-A152-05C5408002CA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2023-10-16T13:53:00Z</dcterms:created>
  <dc:creator>燕衔泥</dc:creator>
  <cp:lastModifiedBy>kylin</cp:lastModifiedBy>
  <cp:lastPrinted>2023-03-21T15:53:00Z</cp:lastPrinted>
  <dcterms:modified xsi:type="dcterms:W3CDTF">2023-10-30T11:24:11Z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2052-11.8.2.9980</vt:lpwstr>
  </property>
  <property fmtid="{D5CDD505-2E9C-101B-9397-08002B2CF9AE}" pid="3" name="ICV">
    <vt:lpwstr>96F638309D734F9E8F532B9BF2E9A920</vt:lpwstr>
  </property>
</Properties>
</file>